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665"/>
          <w:tab w:val="center" w:pos="4312"/>
        </w:tabs>
        <w:kinsoku/>
        <w:wordWrap/>
        <w:overflowPunct/>
        <w:topLinePunct w:val="0"/>
        <w:autoSpaceDE/>
        <w:autoSpaceDN/>
        <w:bidi w:val="0"/>
        <w:adjustRightInd w:val="0"/>
        <w:snapToGrid w:val="0"/>
        <w:spacing w:line="560" w:lineRule="exact"/>
        <w:jc w:val="left"/>
        <w:textAlignment w:val="auto"/>
        <w:rPr>
          <w:rFonts w:hint="eastAsia" w:ascii="方正小标宋简体" w:hAnsi="方正小标宋简体" w:eastAsia="方正小标宋简体" w:cs="方正小标宋简体"/>
          <w:bCs/>
          <w:sz w:val="44"/>
          <w:szCs w:val="44"/>
          <w:lang w:eastAsia="zh-CN"/>
        </w:rPr>
      </w:pPr>
    </w:p>
    <w:p>
      <w:pPr>
        <w:keepNext w:val="0"/>
        <w:keepLines w:val="0"/>
        <w:pageBreakBefore w:val="0"/>
        <w:widowControl w:val="0"/>
        <w:tabs>
          <w:tab w:val="left" w:pos="665"/>
          <w:tab w:val="center" w:pos="4312"/>
        </w:tabs>
        <w:kinsoku/>
        <w:wordWrap/>
        <w:overflowPunct/>
        <w:topLinePunct w:val="0"/>
        <w:autoSpaceDE/>
        <w:autoSpaceDN/>
        <w:bidi w:val="0"/>
        <w:adjustRightInd w:val="0"/>
        <w:snapToGrid w:val="0"/>
        <w:spacing w:line="560" w:lineRule="exact"/>
        <w:jc w:val="left"/>
        <w:textAlignment w:val="auto"/>
        <w:rPr>
          <w:rFonts w:hint="eastAsia" w:ascii="方正小标宋简体" w:hAnsi="方正小标宋简体" w:eastAsia="方正小标宋简体" w:cs="方正小标宋简体"/>
          <w:bCs/>
          <w:sz w:val="44"/>
          <w:szCs w:val="44"/>
          <w:lang w:eastAsia="zh-CN"/>
        </w:rPr>
      </w:pPr>
    </w:p>
    <w:p>
      <w:pPr>
        <w:keepNext w:val="0"/>
        <w:keepLines w:val="0"/>
        <w:pageBreakBefore w:val="0"/>
        <w:widowControl w:val="0"/>
        <w:tabs>
          <w:tab w:val="left" w:pos="665"/>
          <w:tab w:val="center" w:pos="4312"/>
        </w:tabs>
        <w:kinsoku/>
        <w:wordWrap/>
        <w:overflowPunct/>
        <w:topLinePunct w:val="0"/>
        <w:autoSpaceDE/>
        <w:autoSpaceDN/>
        <w:bidi w:val="0"/>
        <w:adjustRightInd w:val="0"/>
        <w:snapToGrid w:val="0"/>
        <w:spacing w:line="560" w:lineRule="exact"/>
        <w:jc w:val="left"/>
        <w:textAlignment w:val="auto"/>
        <w:rPr>
          <w:rFonts w:hint="eastAsia" w:ascii="方正小标宋简体" w:hAnsi="方正小标宋简体" w:eastAsia="方正小标宋简体" w:cs="方正小标宋简体"/>
          <w:bCs/>
          <w:sz w:val="44"/>
          <w:szCs w:val="44"/>
          <w:lang w:eastAsia="zh-CN"/>
        </w:rPr>
      </w:pPr>
    </w:p>
    <w:p>
      <w:pPr>
        <w:keepNext w:val="0"/>
        <w:keepLines w:val="0"/>
        <w:pageBreakBefore w:val="0"/>
        <w:widowControl w:val="0"/>
        <w:tabs>
          <w:tab w:val="left" w:pos="665"/>
          <w:tab w:val="center" w:pos="4312"/>
        </w:tabs>
        <w:kinsoku/>
        <w:wordWrap/>
        <w:overflowPunct/>
        <w:topLinePunct w:val="0"/>
        <w:autoSpaceDE/>
        <w:autoSpaceDN/>
        <w:bidi w:val="0"/>
        <w:adjustRightInd w:val="0"/>
        <w:snapToGrid w:val="0"/>
        <w:spacing w:line="560" w:lineRule="exact"/>
        <w:jc w:val="left"/>
        <w:textAlignment w:val="auto"/>
        <w:rPr>
          <w:rFonts w:hint="eastAsia" w:ascii="方正小标宋简体" w:hAnsi="方正小标宋简体" w:eastAsia="方正小标宋简体" w:cs="方正小标宋简体"/>
          <w:bCs/>
          <w:sz w:val="44"/>
          <w:szCs w:val="44"/>
          <w:lang w:eastAsia="zh-CN"/>
        </w:rPr>
      </w:pPr>
    </w:p>
    <w:p>
      <w:pPr>
        <w:keepNext w:val="0"/>
        <w:keepLines w:val="0"/>
        <w:pageBreakBefore w:val="0"/>
        <w:widowControl w:val="0"/>
        <w:tabs>
          <w:tab w:val="left" w:pos="665"/>
          <w:tab w:val="center" w:pos="4312"/>
        </w:tabs>
        <w:kinsoku/>
        <w:wordWrap/>
        <w:overflowPunct/>
        <w:topLinePunct w:val="0"/>
        <w:autoSpaceDE/>
        <w:autoSpaceDN/>
        <w:bidi w:val="0"/>
        <w:adjustRightInd w:val="0"/>
        <w:snapToGrid w:val="0"/>
        <w:spacing w:line="560" w:lineRule="exact"/>
        <w:jc w:val="left"/>
        <w:textAlignment w:val="auto"/>
        <w:rPr>
          <w:rFonts w:hint="eastAsia" w:ascii="方正小标宋简体" w:hAnsi="方正小标宋简体" w:eastAsia="方正小标宋简体" w:cs="方正小标宋简体"/>
          <w:bCs/>
          <w:sz w:val="44"/>
          <w:szCs w:val="44"/>
          <w:lang w:eastAsia="zh-CN"/>
        </w:rPr>
      </w:pPr>
    </w:p>
    <w:p>
      <w:pPr>
        <w:keepNext w:val="0"/>
        <w:keepLines w:val="0"/>
        <w:pageBreakBefore w:val="0"/>
        <w:widowControl w:val="0"/>
        <w:tabs>
          <w:tab w:val="left" w:pos="665"/>
          <w:tab w:val="center" w:pos="4312"/>
        </w:tabs>
        <w:kinsoku/>
        <w:wordWrap/>
        <w:overflowPunct/>
        <w:topLinePunct w:val="0"/>
        <w:autoSpaceDE/>
        <w:autoSpaceDN/>
        <w:bidi w:val="0"/>
        <w:adjustRightInd w:val="0"/>
        <w:snapToGrid w:val="0"/>
        <w:spacing w:line="560" w:lineRule="exact"/>
        <w:jc w:val="left"/>
        <w:textAlignment w:val="auto"/>
        <w:rPr>
          <w:rFonts w:hint="eastAsia" w:ascii="方正小标宋简体" w:hAnsi="方正小标宋简体" w:eastAsia="方正小标宋简体" w:cs="方正小标宋简体"/>
          <w:bCs/>
          <w:sz w:val="44"/>
          <w:szCs w:val="44"/>
          <w:lang w:eastAsia="zh-CN"/>
        </w:rPr>
      </w:pPr>
    </w:p>
    <w:p>
      <w:pPr>
        <w:keepNext w:val="0"/>
        <w:keepLines w:val="0"/>
        <w:pageBreakBefore w:val="0"/>
        <w:widowControl w:val="0"/>
        <w:tabs>
          <w:tab w:val="left" w:pos="665"/>
          <w:tab w:val="center" w:pos="4312"/>
        </w:tabs>
        <w:kinsoku/>
        <w:wordWrap/>
        <w:overflowPunct/>
        <w:topLinePunct w:val="0"/>
        <w:autoSpaceDE/>
        <w:autoSpaceDN/>
        <w:bidi w:val="0"/>
        <w:adjustRightInd w:val="0"/>
        <w:snapToGrid w:val="0"/>
        <w:spacing w:line="560" w:lineRule="exact"/>
        <w:jc w:val="left"/>
        <w:textAlignment w:val="auto"/>
        <w:rPr>
          <w:rFonts w:hint="eastAsia"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lang w:eastAsia="zh-CN"/>
        </w:rPr>
        <w:tab/>
      </w:r>
    </w:p>
    <w:p>
      <w:pPr>
        <w:keepNext w:val="0"/>
        <w:keepLines w:val="0"/>
        <w:pageBreakBefore w:val="0"/>
        <w:widowControl w:val="0"/>
        <w:tabs>
          <w:tab w:val="left" w:pos="665"/>
          <w:tab w:val="center" w:pos="4312"/>
        </w:tabs>
        <w:kinsoku/>
        <w:wordWrap/>
        <w:overflowPunct/>
        <w:topLinePunct w:val="0"/>
        <w:autoSpaceDE/>
        <w:autoSpaceDN/>
        <w:bidi w:val="0"/>
        <w:adjustRightInd w:val="0"/>
        <w:snapToGrid w:val="0"/>
        <w:spacing w:line="560" w:lineRule="exact"/>
        <w:jc w:val="left"/>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ab/>
      </w:r>
      <w:r>
        <w:rPr>
          <w:rFonts w:hint="eastAsia" w:ascii="方正小标宋简体" w:hAnsi="方正小标宋简体" w:eastAsia="方正小标宋简体" w:cs="方正小标宋简体"/>
          <w:bCs/>
          <w:sz w:val="44"/>
          <w:szCs w:val="44"/>
          <w:lang w:eastAsia="zh-CN"/>
        </w:rPr>
        <w:t>关于印发《</w:t>
      </w:r>
      <w:r>
        <w:rPr>
          <w:rFonts w:hint="eastAsia" w:ascii="方正小标宋简体" w:hAnsi="方正小标宋简体" w:eastAsia="方正小标宋简体" w:cs="方正小标宋简体"/>
          <w:bCs/>
          <w:sz w:val="44"/>
          <w:szCs w:val="44"/>
        </w:rPr>
        <w:t>20</w:t>
      </w:r>
      <w:r>
        <w:rPr>
          <w:rFonts w:hint="eastAsia" w:ascii="方正小标宋简体" w:hAnsi="方正小标宋简体" w:eastAsia="方正小标宋简体" w:cs="方正小标宋简体"/>
          <w:bCs/>
          <w:sz w:val="44"/>
          <w:szCs w:val="44"/>
          <w:lang w:val="en-US" w:eastAsia="zh-CN"/>
        </w:rPr>
        <w:t>20</w:t>
      </w:r>
      <w:r>
        <w:rPr>
          <w:rFonts w:hint="eastAsia" w:ascii="方正小标宋简体" w:hAnsi="方正小标宋简体" w:eastAsia="方正小标宋简体" w:cs="方正小标宋简体"/>
          <w:bCs/>
          <w:sz w:val="44"/>
          <w:szCs w:val="44"/>
        </w:rPr>
        <w:t>年义务教育阶段学校</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rPr>
        <w:t>招生工作实施方案</w:t>
      </w:r>
      <w:r>
        <w:rPr>
          <w:rFonts w:hint="eastAsia" w:ascii="方正小标宋简体" w:hAnsi="方正小标宋简体" w:eastAsia="方正小标宋简体" w:cs="方正小标宋简体"/>
          <w:bCs/>
          <w:sz w:val="44"/>
          <w:szCs w:val="44"/>
          <w:lang w:eastAsia="zh-CN"/>
        </w:rPr>
        <w:t>》的通知</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仿宋" w:hAnsi="仿宋" w:eastAsia="仿宋" w:cs="仿宋"/>
          <w:bCs/>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eastAsia="zh-CN"/>
        </w:rPr>
        <w:t>各中心学校、区直中小学：</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20</w:t>
      </w:r>
      <w:r>
        <w:rPr>
          <w:rFonts w:hint="eastAsia" w:ascii="仿宋_GB2312" w:hAnsi="仿宋_GB2312" w:eastAsia="仿宋_GB2312" w:cs="仿宋_GB2312"/>
          <w:bCs/>
          <w:sz w:val="32"/>
          <w:szCs w:val="32"/>
          <w:lang w:val="en-US" w:eastAsia="zh-CN"/>
        </w:rPr>
        <w:t>20</w:t>
      </w:r>
      <w:r>
        <w:rPr>
          <w:rFonts w:hint="eastAsia" w:ascii="仿宋_GB2312" w:hAnsi="仿宋_GB2312" w:eastAsia="仿宋_GB2312" w:cs="仿宋_GB2312"/>
          <w:bCs/>
          <w:sz w:val="32"/>
          <w:szCs w:val="32"/>
        </w:rPr>
        <w:t>年义务教育阶段学校招生工作实施方案</w:t>
      </w:r>
      <w:r>
        <w:rPr>
          <w:rFonts w:hint="eastAsia" w:ascii="仿宋_GB2312" w:hAnsi="仿宋_GB2312" w:eastAsia="仿宋_GB2312" w:cs="仿宋_GB2312"/>
          <w:bCs/>
          <w:sz w:val="32"/>
          <w:szCs w:val="32"/>
          <w:lang w:eastAsia="zh-CN"/>
        </w:rPr>
        <w:t>》已经教育局研究同意，现印发给你们，请遵照执行。</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特此通知。</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Cs/>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bCs/>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附：</w:t>
      </w:r>
      <w:r>
        <w:rPr>
          <w:rFonts w:hint="eastAsia" w:ascii="仿宋_GB2312" w:hAnsi="仿宋_GB2312" w:eastAsia="仿宋_GB2312" w:cs="仿宋_GB2312"/>
          <w:bCs/>
          <w:sz w:val="32"/>
          <w:szCs w:val="32"/>
        </w:rPr>
        <w:t>20</w:t>
      </w:r>
      <w:r>
        <w:rPr>
          <w:rFonts w:hint="eastAsia" w:ascii="仿宋_GB2312" w:hAnsi="仿宋_GB2312" w:eastAsia="仿宋_GB2312" w:cs="仿宋_GB2312"/>
          <w:bCs/>
          <w:sz w:val="32"/>
          <w:szCs w:val="32"/>
          <w:lang w:val="en-US" w:eastAsia="zh-CN"/>
        </w:rPr>
        <w:t>20</w:t>
      </w:r>
      <w:r>
        <w:rPr>
          <w:rFonts w:hint="eastAsia" w:ascii="仿宋_GB2312" w:hAnsi="仿宋_GB2312" w:eastAsia="仿宋_GB2312" w:cs="仿宋_GB2312"/>
          <w:bCs/>
          <w:sz w:val="32"/>
          <w:szCs w:val="32"/>
        </w:rPr>
        <w:t>年义务教育阶段学校招生工作实施方案</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4480" w:firstLineChars="14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开发区</w:t>
      </w:r>
      <w:r>
        <w:rPr>
          <w:rFonts w:hint="eastAsia" w:ascii="仿宋_GB2312" w:hAnsi="仿宋_GB2312" w:eastAsia="仿宋_GB2312" w:cs="仿宋_GB2312"/>
          <w:sz w:val="32"/>
          <w:szCs w:val="32"/>
          <w:lang w:val="en-US" w:eastAsia="zh-CN"/>
        </w:rPr>
        <w:t>·铁山区教育局</w:t>
      </w:r>
    </w:p>
    <w:p>
      <w:pPr>
        <w:keepNext w:val="0"/>
        <w:keepLines w:val="0"/>
        <w:pageBreakBefore w:val="0"/>
        <w:widowControl w:val="0"/>
        <w:kinsoku/>
        <w:wordWrap/>
        <w:overflowPunct/>
        <w:topLinePunct w:val="0"/>
        <w:autoSpaceDE/>
        <w:autoSpaceDN/>
        <w:bidi w:val="0"/>
        <w:adjustRightInd w:val="0"/>
        <w:snapToGrid w:val="0"/>
        <w:spacing w:line="560" w:lineRule="exact"/>
        <w:ind w:firstLine="4800" w:firstLineChars="15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2020年6月23</w:t>
      </w:r>
      <w:bookmarkStart w:id="0" w:name="_GoBack"/>
      <w:bookmarkEnd w:id="0"/>
      <w:r>
        <w:rPr>
          <w:rFonts w:hint="eastAsia" w:ascii="仿宋_GB2312" w:hAnsi="仿宋_GB2312" w:eastAsia="仿宋_GB2312" w:cs="仿宋_GB2312"/>
          <w:sz w:val="32"/>
          <w:szCs w:val="32"/>
          <w:lang w:val="en-US" w:eastAsia="zh-CN"/>
        </w:rPr>
        <w:t>日</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仿宋_GB2312" w:hAnsi="仿宋_GB2312" w:eastAsia="仿宋_GB2312" w:cs="仿宋_GB2312"/>
          <w:bCs/>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w:t>
      </w:r>
      <w:r>
        <w:rPr>
          <w:rFonts w:hint="eastAsia" w:ascii="方正小标宋简体" w:hAnsi="方正小标宋简体" w:eastAsia="方正小标宋简体" w:cs="方正小标宋简体"/>
          <w:bCs/>
          <w:sz w:val="44"/>
          <w:szCs w:val="44"/>
          <w:lang w:val="en-US" w:eastAsia="zh-CN"/>
        </w:rPr>
        <w:t>20</w:t>
      </w:r>
      <w:r>
        <w:rPr>
          <w:rFonts w:hint="eastAsia" w:ascii="方正小标宋简体" w:hAnsi="方正小标宋简体" w:eastAsia="方正小标宋简体" w:cs="方正小标宋简体"/>
          <w:bCs/>
          <w:sz w:val="44"/>
          <w:szCs w:val="44"/>
        </w:rPr>
        <w:t>年义务教育阶段学校</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招生工作实施方案</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宋体" w:hAnsi="宋体"/>
          <w:b/>
          <w:szCs w:val="21"/>
        </w:rPr>
      </w:pPr>
    </w:p>
    <w:p>
      <w:pPr>
        <w:keepNext w:val="0"/>
        <w:keepLines w:val="0"/>
        <w:widowControl/>
        <w:suppressLineNumbers w:val="0"/>
        <w:ind w:firstLine="640" w:firstLineChars="200"/>
        <w:jc w:val="left"/>
        <w:rPr>
          <w:rFonts w:hint="eastAsia" w:ascii="仿宋_GB2312" w:hAnsi="仿宋_GB2312" w:eastAsia="仿宋_GB2312" w:cs="仿宋_GB2312"/>
          <w:sz w:val="32"/>
          <w:szCs w:val="32"/>
        </w:rPr>
      </w:pPr>
      <w:r>
        <w:rPr>
          <w:rFonts w:ascii="仿宋_GB2312" w:hAnsi="仿宋_GB2312" w:eastAsia="仿宋_GB2312" w:cs="仿宋_GB2312"/>
          <w:color w:val="000000"/>
          <w:kern w:val="0"/>
          <w:sz w:val="32"/>
          <w:szCs w:val="32"/>
          <w:lang w:val="en-US" w:eastAsia="zh-CN" w:bidi="ar"/>
        </w:rPr>
        <w:t>为保障适龄儿童</w:t>
      </w:r>
      <w:r>
        <w:rPr>
          <w:rFonts w:hint="eastAsia" w:ascii="仿宋_GB2312" w:hAnsi="仿宋_GB2312" w:eastAsia="仿宋_GB2312" w:cs="仿宋_GB2312"/>
          <w:color w:val="000000"/>
          <w:kern w:val="0"/>
          <w:sz w:val="32"/>
          <w:szCs w:val="32"/>
          <w:lang w:val="en-US" w:eastAsia="zh-CN" w:bidi="ar"/>
        </w:rPr>
        <w:t>、</w:t>
      </w:r>
      <w:r>
        <w:rPr>
          <w:rFonts w:ascii="仿宋_GB2312" w:hAnsi="仿宋_GB2312" w:eastAsia="仿宋_GB2312" w:cs="仿宋_GB2312"/>
          <w:color w:val="000000"/>
          <w:kern w:val="0"/>
          <w:sz w:val="32"/>
          <w:szCs w:val="32"/>
          <w:lang w:val="en-US" w:eastAsia="zh-CN" w:bidi="ar"/>
        </w:rPr>
        <w:t>少年依法接受义务教育</w:t>
      </w:r>
      <w:r>
        <w:rPr>
          <w:rFonts w:hint="eastAsia" w:ascii="仿宋_GB2312" w:hAnsi="仿宋_GB2312" w:eastAsia="仿宋_GB2312" w:cs="仿宋_GB2312"/>
          <w:color w:val="000000"/>
          <w:kern w:val="0"/>
          <w:sz w:val="32"/>
          <w:szCs w:val="32"/>
          <w:lang w:val="en-US" w:eastAsia="zh-CN" w:bidi="ar"/>
        </w:rPr>
        <w:t>权利</w:t>
      </w:r>
      <w:r>
        <w:rPr>
          <w:rFonts w:ascii="仿宋_GB2312" w:hAnsi="仿宋_GB2312" w:eastAsia="仿宋_GB2312" w:cs="仿宋_GB2312"/>
          <w:color w:val="000000"/>
          <w:kern w:val="0"/>
          <w:sz w:val="32"/>
          <w:szCs w:val="32"/>
          <w:lang w:val="en-US" w:eastAsia="zh-CN" w:bidi="ar"/>
        </w:rPr>
        <w:t>，构建良好教育生态，维护正常招生秩序，根据《中共中央国务院关于深化教育教学改革全面提高义务教育质量的意见》(中发〔2019〕26 号)</w:t>
      </w:r>
      <w:r>
        <w:rPr>
          <w:rFonts w:hint="eastAsia" w:ascii="仿宋_GB2312" w:hAnsi="仿宋_GB2312" w:eastAsia="仿宋_GB2312" w:cs="仿宋_GB2312"/>
          <w:sz w:val="32"/>
          <w:szCs w:val="32"/>
        </w:rPr>
        <w:t>以及</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市教育局关于2020年义务教育阶段学校招生入学工作的通知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黄教基[2020]13号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文件精神，现结合我区实际，制定开发区</w:t>
      </w:r>
      <w:r>
        <w:rPr>
          <w:rFonts w:hint="eastAsia" w:ascii="仿宋_GB2312" w:hAnsi="仿宋_GB2312" w:eastAsia="仿宋_GB2312" w:cs="仿宋_GB2312"/>
          <w:sz w:val="32"/>
          <w:szCs w:val="32"/>
          <w:lang w:val="en-US" w:eastAsia="zh-CN"/>
        </w:rPr>
        <w:t>·铁山区</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年义务教育阶段学校招生工作实施方案。</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黑体" w:hAnsi="黑体" w:eastAsia="黑体"/>
          <w:sz w:val="32"/>
          <w:szCs w:val="32"/>
        </w:rPr>
      </w:pPr>
      <w:r>
        <w:rPr>
          <w:rFonts w:hint="eastAsia" w:ascii="黑体" w:hAnsi="黑体" w:eastAsia="黑体"/>
          <w:sz w:val="32"/>
          <w:szCs w:val="32"/>
        </w:rPr>
        <w:t>一、指导思想</w:t>
      </w:r>
    </w:p>
    <w:p>
      <w:pPr>
        <w:keepNext w:val="0"/>
        <w:keepLines w:val="0"/>
        <w:pageBreakBefore w:val="0"/>
        <w:widowControl w:val="0"/>
        <w:kinsoku/>
        <w:wordWrap/>
        <w:overflowPunct/>
        <w:topLinePunct w:val="0"/>
        <w:autoSpaceDE/>
        <w:autoSpaceDN/>
        <w:bidi w:val="0"/>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以国家和省有关法律法规为依据，</w:t>
      </w:r>
      <w:r>
        <w:rPr>
          <w:rFonts w:hint="eastAsia" w:ascii="仿宋_GB2312" w:hAnsi="仿宋_GB2312" w:eastAsia="仿宋_GB2312" w:cs="仿宋_GB2312"/>
          <w:sz w:val="32"/>
          <w:szCs w:val="32"/>
          <w:lang w:eastAsia="zh-CN"/>
        </w:rPr>
        <w:t>以</w:t>
      </w:r>
      <w:r>
        <w:rPr>
          <w:rFonts w:hint="eastAsia" w:ascii="仿宋_GB2312" w:hAnsi="仿宋_GB2312" w:eastAsia="仿宋_GB2312" w:cs="仿宋_GB2312"/>
          <w:sz w:val="32"/>
          <w:szCs w:val="32"/>
        </w:rPr>
        <w:t>满足人民群众“好上学、上好学”的需求</w:t>
      </w:r>
      <w:r>
        <w:rPr>
          <w:rFonts w:hint="eastAsia" w:ascii="仿宋_GB2312" w:hAnsi="仿宋_GB2312" w:eastAsia="仿宋_GB2312" w:cs="仿宋_GB2312"/>
          <w:sz w:val="32"/>
          <w:szCs w:val="32"/>
          <w:lang w:eastAsia="zh-CN"/>
        </w:rPr>
        <w:t>为目标</w:t>
      </w:r>
      <w:r>
        <w:rPr>
          <w:rFonts w:hint="eastAsia" w:ascii="仿宋_GB2312" w:hAnsi="仿宋_GB2312" w:eastAsia="仿宋_GB2312" w:cs="仿宋_GB2312"/>
          <w:sz w:val="32"/>
          <w:szCs w:val="32"/>
        </w:rPr>
        <w:t>，推进义务教育均衡发展，进一步</w:t>
      </w:r>
      <w:r>
        <w:rPr>
          <w:rFonts w:hint="eastAsia" w:ascii="仿宋_GB2312" w:hAnsi="仿宋_GB2312" w:eastAsia="仿宋_GB2312" w:cs="仿宋_GB2312"/>
          <w:sz w:val="32"/>
          <w:szCs w:val="32"/>
          <w:lang w:eastAsia="zh-CN"/>
        </w:rPr>
        <w:t>落实</w:t>
      </w:r>
      <w:r>
        <w:rPr>
          <w:rFonts w:hint="eastAsia" w:ascii="仿宋_GB2312" w:hAnsi="仿宋_GB2312" w:eastAsia="仿宋_GB2312" w:cs="仿宋_GB2312"/>
          <w:sz w:val="32"/>
          <w:szCs w:val="32"/>
        </w:rPr>
        <w:t>义务教育划片招生、免试就近入学制度，切实维护适龄儿童、少年依法接受九年义务教育的合法权益。</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黑体" w:hAnsi="黑体" w:eastAsia="黑体"/>
          <w:sz w:val="32"/>
          <w:szCs w:val="32"/>
        </w:rPr>
      </w:pPr>
      <w:r>
        <w:rPr>
          <w:rFonts w:hint="eastAsia" w:ascii="黑体" w:hAnsi="黑体" w:eastAsia="黑体"/>
          <w:sz w:val="32"/>
          <w:szCs w:val="32"/>
        </w:rPr>
        <w:t>二、招生原则</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rPr>
      </w:pPr>
      <w:r>
        <w:rPr>
          <w:rFonts w:hint="eastAsia" w:ascii="楷体" w:hAnsi="楷体" w:eastAsia="楷体"/>
          <w:b w:val="0"/>
          <w:bCs/>
          <w:sz w:val="32"/>
          <w:szCs w:val="32"/>
        </w:rPr>
        <w:t>1</w:t>
      </w:r>
      <w:r>
        <w:rPr>
          <w:rFonts w:hint="eastAsia" w:ascii="楷体" w:hAnsi="楷体" w:eastAsia="楷体"/>
          <w:b w:val="0"/>
          <w:bCs/>
          <w:sz w:val="32"/>
          <w:szCs w:val="32"/>
          <w:lang w:val="en-US" w:eastAsia="zh-CN"/>
        </w:rPr>
        <w:t>.</w:t>
      </w:r>
      <w:r>
        <w:rPr>
          <w:rFonts w:hint="eastAsia" w:ascii="楷体" w:hAnsi="楷体" w:eastAsia="楷体"/>
          <w:b w:val="0"/>
          <w:bCs/>
          <w:sz w:val="32"/>
          <w:szCs w:val="32"/>
        </w:rPr>
        <w:t>坚持公平、公正、公开的原则。</w:t>
      </w:r>
      <w:r>
        <w:rPr>
          <w:rFonts w:hint="eastAsia" w:ascii="仿宋_GB2312" w:hAnsi="仿宋_GB2312" w:eastAsia="仿宋_GB2312" w:cs="仿宋_GB2312"/>
          <w:sz w:val="32"/>
          <w:szCs w:val="32"/>
        </w:rPr>
        <w:t>全面推行“阳光招生”，招生政策、招生计划、招生范围、招生程序、招生方式 、录取结果等信息全面公开，自觉接受社会监督。开发区</w:t>
      </w:r>
      <w:r>
        <w:rPr>
          <w:rFonts w:hint="eastAsia" w:ascii="仿宋_GB2312" w:hAnsi="仿宋_GB2312" w:eastAsia="仿宋_GB2312" w:cs="仿宋_GB2312"/>
          <w:sz w:val="32"/>
          <w:szCs w:val="32"/>
          <w:lang w:val="en-US" w:eastAsia="zh-CN"/>
        </w:rPr>
        <w:t>·铁山区教育局</w:t>
      </w:r>
      <w:r>
        <w:rPr>
          <w:rFonts w:hint="eastAsia" w:ascii="仿宋_GB2312" w:hAnsi="仿宋_GB2312" w:eastAsia="仿宋_GB2312" w:cs="仿宋_GB2312"/>
          <w:sz w:val="32"/>
          <w:szCs w:val="32"/>
        </w:rPr>
        <w:t>成立义务教育招生工作领导小组，制定招生工作实施方案，统一组织实施辖区内义务教育阶段招生工作，加强对招生工作的全程监管，严格审核新生入学条件，把好新生入籍关，加大处罚力度，严禁违规招生行为。</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rPr>
      </w:pPr>
      <w:r>
        <w:rPr>
          <w:rFonts w:hint="eastAsia" w:ascii="楷体" w:hAnsi="楷体" w:eastAsia="楷体"/>
          <w:b w:val="0"/>
          <w:bCs/>
          <w:sz w:val="32"/>
          <w:szCs w:val="32"/>
        </w:rPr>
        <w:t>2</w:t>
      </w:r>
      <w:r>
        <w:rPr>
          <w:rFonts w:hint="eastAsia" w:ascii="楷体" w:hAnsi="楷体" w:eastAsia="楷体"/>
          <w:b w:val="0"/>
          <w:bCs/>
          <w:sz w:val="32"/>
          <w:szCs w:val="32"/>
          <w:lang w:val="en-US" w:eastAsia="zh-CN"/>
        </w:rPr>
        <w:t>.</w:t>
      </w:r>
      <w:r>
        <w:rPr>
          <w:rFonts w:hint="eastAsia" w:ascii="楷体" w:hAnsi="楷体" w:eastAsia="楷体"/>
          <w:b w:val="0"/>
          <w:bCs/>
          <w:sz w:val="32"/>
          <w:szCs w:val="32"/>
        </w:rPr>
        <w:t>坚持“免试、就近、划片”原则。</w:t>
      </w:r>
      <w:r>
        <w:rPr>
          <w:rFonts w:hint="eastAsia" w:ascii="仿宋_GB2312" w:hAnsi="仿宋_GB2312" w:eastAsia="仿宋_GB2312" w:cs="仿宋_GB2312"/>
          <w:sz w:val="32"/>
          <w:szCs w:val="32"/>
        </w:rPr>
        <w:t>严格执行义务教育法有关“适龄儿童、少年免试入学”的规定，按“免试、就近、划片”原则招生，保障辖区内每个适龄儿童、少年具有一个相对较近的学校学位。所有义务教育阶段学校不得采取任何形式的考试（面试）录取新生，不得以学生的成绩或获奖证书作为入学的条件或依据，不得招收特长生。</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rPr>
      </w:pPr>
      <w:r>
        <w:rPr>
          <w:rFonts w:hint="eastAsia" w:ascii="楷体" w:hAnsi="楷体" w:eastAsia="楷体"/>
          <w:b w:val="0"/>
          <w:bCs/>
          <w:sz w:val="32"/>
          <w:szCs w:val="32"/>
        </w:rPr>
        <w:t>3</w:t>
      </w:r>
      <w:r>
        <w:rPr>
          <w:rFonts w:hint="eastAsia" w:ascii="楷体" w:hAnsi="楷体" w:eastAsia="楷体"/>
          <w:b w:val="0"/>
          <w:bCs/>
          <w:sz w:val="32"/>
          <w:szCs w:val="32"/>
          <w:lang w:val="en-US" w:eastAsia="zh-CN"/>
        </w:rPr>
        <w:t>.</w:t>
      </w:r>
      <w:r>
        <w:rPr>
          <w:rFonts w:hint="eastAsia" w:ascii="楷体" w:hAnsi="楷体" w:eastAsia="楷体"/>
          <w:b w:val="0"/>
          <w:bCs/>
          <w:sz w:val="32"/>
          <w:szCs w:val="32"/>
        </w:rPr>
        <w:t>坚持“房户一致”优先的原则。</w:t>
      </w:r>
      <w:r>
        <w:rPr>
          <w:rFonts w:hint="eastAsia" w:ascii="仿宋_GB2312" w:hAnsi="仿宋_GB2312" w:eastAsia="仿宋_GB2312" w:cs="仿宋_GB2312"/>
          <w:sz w:val="32"/>
          <w:szCs w:val="32"/>
        </w:rPr>
        <w:t>片区内符合条件的报名人数超过经核定的招生计划时，学校应根据学龄儿童、少年的户籍和家庭住址情况，按照“房户一致”优先的原则依次录取（顺序为：1、房户齐全，2、有户无房，3、有房无户，4、无房无户），学位不足的由开发区</w:t>
      </w:r>
      <w:r>
        <w:rPr>
          <w:rFonts w:hint="eastAsia" w:ascii="仿宋_GB2312" w:hAnsi="仿宋_GB2312" w:eastAsia="仿宋_GB2312" w:cs="仿宋_GB2312"/>
          <w:sz w:val="32"/>
          <w:szCs w:val="32"/>
          <w:lang w:val="en-US" w:eastAsia="zh-CN"/>
        </w:rPr>
        <w:t>·铁山区教育局</w:t>
      </w:r>
      <w:r>
        <w:rPr>
          <w:rFonts w:hint="eastAsia" w:ascii="仿宋_GB2312" w:hAnsi="仿宋_GB2312" w:eastAsia="仿宋_GB2312" w:cs="仿宋_GB2312"/>
          <w:sz w:val="32"/>
          <w:szCs w:val="32"/>
        </w:rPr>
        <w:t>统筹调剂到周边片区学校入学。</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仿宋" w:hAnsi="仿宋" w:eastAsia="仿宋"/>
          <w:sz w:val="32"/>
          <w:szCs w:val="32"/>
        </w:rPr>
      </w:pPr>
      <w:r>
        <w:rPr>
          <w:rFonts w:hint="eastAsia" w:ascii="楷体" w:hAnsi="楷体" w:eastAsia="楷体"/>
          <w:b w:val="0"/>
          <w:bCs/>
          <w:sz w:val="32"/>
          <w:szCs w:val="32"/>
        </w:rPr>
        <w:t>4</w:t>
      </w:r>
      <w:r>
        <w:rPr>
          <w:rFonts w:hint="eastAsia" w:ascii="楷体" w:hAnsi="楷体" w:eastAsia="楷体"/>
          <w:b w:val="0"/>
          <w:bCs/>
          <w:sz w:val="32"/>
          <w:szCs w:val="32"/>
          <w:lang w:val="en-US" w:eastAsia="zh-CN"/>
        </w:rPr>
        <w:t>.</w:t>
      </w:r>
      <w:r>
        <w:rPr>
          <w:rFonts w:hint="eastAsia" w:ascii="楷体" w:hAnsi="楷体" w:eastAsia="楷体"/>
          <w:b w:val="0"/>
          <w:bCs/>
          <w:sz w:val="32"/>
          <w:szCs w:val="32"/>
        </w:rPr>
        <w:t>坚持“三个一样”原则。</w:t>
      </w:r>
      <w:r>
        <w:rPr>
          <w:rFonts w:hint="eastAsia" w:ascii="仿宋" w:hAnsi="仿宋" w:eastAsia="仿宋"/>
          <w:sz w:val="32"/>
          <w:szCs w:val="32"/>
        </w:rPr>
        <w:t>外来务工人员随迁子女按“三个一样”（一样就读，一样入学，一样免费）的要求，同本地区学生同等对待。</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黑体" w:hAnsi="黑体" w:eastAsia="黑体"/>
          <w:sz w:val="32"/>
          <w:szCs w:val="32"/>
        </w:rPr>
      </w:pPr>
      <w:r>
        <w:rPr>
          <w:rFonts w:hint="eastAsia" w:ascii="黑体" w:hAnsi="黑体" w:eastAsia="黑体"/>
          <w:sz w:val="32"/>
          <w:szCs w:val="32"/>
        </w:rPr>
        <w:t>三、招生办法</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楷体" w:hAnsi="楷体" w:eastAsia="楷体"/>
          <w:b/>
          <w:sz w:val="32"/>
          <w:szCs w:val="32"/>
        </w:rPr>
      </w:pPr>
      <w:r>
        <w:rPr>
          <w:rFonts w:hint="eastAsia" w:ascii="楷体" w:hAnsi="楷体" w:eastAsia="楷体"/>
          <w:b w:val="0"/>
          <w:bCs/>
          <w:sz w:val="32"/>
          <w:szCs w:val="32"/>
        </w:rPr>
        <w:t>（一）实施阳光招生，做到“八统一”</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lang w:val="en-US" w:eastAsia="zh-CN"/>
        </w:rPr>
        <w:t>.</w:t>
      </w:r>
      <w:r>
        <w:rPr>
          <w:rFonts w:hint="eastAsia" w:ascii="仿宋_GB2312" w:hAnsi="仿宋_GB2312" w:eastAsia="仿宋_GB2312" w:cs="仿宋_GB2312"/>
          <w:b/>
          <w:sz w:val="32"/>
          <w:szCs w:val="32"/>
        </w:rPr>
        <w:t>统一入学年龄。</w:t>
      </w:r>
      <w:r>
        <w:rPr>
          <w:rFonts w:hint="eastAsia" w:ascii="仿宋_GB2312" w:hAnsi="仿宋_GB2312" w:eastAsia="仿宋_GB2312" w:cs="仿宋_GB2312"/>
          <w:sz w:val="32"/>
          <w:szCs w:val="32"/>
        </w:rPr>
        <w:t>小学生入学年龄为6周岁（201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年8月31日前出生，含8月31日出生），</w:t>
      </w:r>
      <w:r>
        <w:rPr>
          <w:rFonts w:hint="eastAsia" w:ascii="仿宋_GB2312" w:hAnsi="仿宋_GB2312" w:eastAsia="仿宋_GB2312" w:cs="仿宋_GB2312"/>
          <w:b w:val="0"/>
          <w:bCs/>
          <w:sz w:val="32"/>
          <w:szCs w:val="32"/>
        </w:rPr>
        <w:t>招生区域内学位有富余的，可适当放宽年龄限制，但不得超过201</w:t>
      </w:r>
      <w:r>
        <w:rPr>
          <w:rFonts w:hint="eastAsia" w:ascii="仿宋_GB2312" w:hAnsi="仿宋_GB2312" w:eastAsia="仿宋_GB2312" w:cs="仿宋_GB2312"/>
          <w:b w:val="0"/>
          <w:bCs/>
          <w:sz w:val="32"/>
          <w:szCs w:val="32"/>
          <w:lang w:val="en-US" w:eastAsia="zh-CN"/>
        </w:rPr>
        <w:t>4</w:t>
      </w:r>
      <w:r>
        <w:rPr>
          <w:rFonts w:hint="eastAsia" w:ascii="仿宋_GB2312" w:hAnsi="仿宋_GB2312" w:eastAsia="仿宋_GB2312" w:cs="仿宋_GB2312"/>
          <w:b w:val="0"/>
          <w:bCs/>
          <w:sz w:val="32"/>
          <w:szCs w:val="32"/>
        </w:rPr>
        <w:t>年11月30日（含11月30日出生）。</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w:t>
      </w:r>
      <w:r>
        <w:rPr>
          <w:rFonts w:hint="eastAsia" w:ascii="仿宋_GB2312" w:hAnsi="仿宋_GB2312" w:eastAsia="仿宋_GB2312" w:cs="仿宋_GB2312"/>
          <w:b/>
          <w:sz w:val="32"/>
          <w:szCs w:val="32"/>
          <w:lang w:val="en-US" w:eastAsia="zh-CN"/>
        </w:rPr>
        <w:t>.</w:t>
      </w:r>
      <w:r>
        <w:rPr>
          <w:rFonts w:hint="eastAsia" w:ascii="仿宋_GB2312" w:hAnsi="仿宋_GB2312" w:eastAsia="仿宋_GB2312" w:cs="仿宋_GB2312"/>
          <w:b/>
          <w:sz w:val="32"/>
          <w:szCs w:val="32"/>
        </w:rPr>
        <w:t>统一划分学区</w:t>
      </w:r>
      <w:r>
        <w:rPr>
          <w:rFonts w:hint="eastAsia" w:ascii="仿宋_GB2312" w:hAnsi="仿宋_GB2312" w:eastAsia="仿宋_GB2312" w:cs="仿宋_GB2312"/>
          <w:sz w:val="32"/>
          <w:szCs w:val="32"/>
        </w:rPr>
        <w:t>。开发区·</w:t>
      </w:r>
      <w:r>
        <w:rPr>
          <w:rFonts w:hint="eastAsia" w:ascii="仿宋_GB2312" w:hAnsi="仿宋_GB2312" w:eastAsia="仿宋_GB2312" w:cs="仿宋_GB2312"/>
          <w:sz w:val="32"/>
          <w:szCs w:val="32"/>
          <w:lang w:eastAsia="zh-CN"/>
        </w:rPr>
        <w:t>铁山区教育</w:t>
      </w:r>
      <w:r>
        <w:rPr>
          <w:rFonts w:hint="eastAsia" w:ascii="仿宋_GB2312" w:hAnsi="仿宋_GB2312" w:eastAsia="仿宋_GB2312" w:cs="仿宋_GB2312"/>
          <w:sz w:val="32"/>
          <w:szCs w:val="32"/>
        </w:rPr>
        <w:t>局6月</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日前下发学区划分方案，送交市教育局备案，并向社会进行公示。各</w:t>
      </w:r>
      <w:r>
        <w:rPr>
          <w:rFonts w:hint="eastAsia" w:ascii="仿宋_GB2312" w:hAnsi="仿宋_GB2312" w:eastAsia="仿宋_GB2312" w:cs="仿宋_GB2312"/>
          <w:sz w:val="32"/>
          <w:szCs w:val="32"/>
          <w:lang w:eastAsia="zh-CN"/>
        </w:rPr>
        <w:t>中</w:t>
      </w:r>
      <w:r>
        <w:rPr>
          <w:rFonts w:hint="eastAsia" w:ascii="仿宋_GB2312" w:hAnsi="仿宋_GB2312" w:eastAsia="仿宋_GB2312" w:cs="仿宋_GB2312"/>
          <w:sz w:val="32"/>
          <w:szCs w:val="32"/>
        </w:rPr>
        <w:t>小学应通知招生区域的适龄儿童</w:t>
      </w:r>
      <w:r>
        <w:rPr>
          <w:rFonts w:hint="eastAsia" w:ascii="仿宋_GB2312" w:hAnsi="仿宋_GB2312" w:eastAsia="仿宋_GB2312" w:cs="仿宋_GB2312"/>
          <w:sz w:val="32"/>
          <w:szCs w:val="32"/>
          <w:lang w:eastAsia="zh-CN"/>
        </w:rPr>
        <w:t>、少年</w:t>
      </w:r>
      <w:r>
        <w:rPr>
          <w:rFonts w:hint="eastAsia" w:ascii="仿宋_GB2312" w:hAnsi="仿宋_GB2312" w:eastAsia="仿宋_GB2312" w:cs="仿宋_GB2312"/>
          <w:sz w:val="32"/>
          <w:szCs w:val="32"/>
        </w:rPr>
        <w:t>到校</w:t>
      </w:r>
      <w:r>
        <w:rPr>
          <w:rFonts w:hint="eastAsia" w:ascii="仿宋_GB2312" w:hAnsi="仿宋_GB2312" w:eastAsia="仿宋_GB2312" w:cs="仿宋_GB2312"/>
          <w:sz w:val="32"/>
          <w:szCs w:val="32"/>
          <w:lang w:eastAsia="zh-CN"/>
        </w:rPr>
        <w:t>注册登记</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lang w:val="en-US" w:eastAsia="zh-CN"/>
        </w:rPr>
        <w:t>.</w:t>
      </w:r>
      <w:r>
        <w:rPr>
          <w:rFonts w:hint="eastAsia" w:ascii="仿宋_GB2312" w:hAnsi="仿宋_GB2312" w:eastAsia="仿宋_GB2312" w:cs="仿宋_GB2312"/>
          <w:b/>
          <w:sz w:val="32"/>
          <w:szCs w:val="32"/>
        </w:rPr>
        <w:t>统一下达招生计划。</w:t>
      </w:r>
      <w:r>
        <w:rPr>
          <w:rFonts w:hint="eastAsia" w:ascii="仿宋_GB2312" w:hAnsi="仿宋_GB2312" w:eastAsia="仿宋_GB2312" w:cs="仿宋_GB2312"/>
          <w:sz w:val="32"/>
          <w:szCs w:val="32"/>
        </w:rPr>
        <w:t>各学校应按计划招收相应学区的适龄儿童、少年，严禁超计划招生，各校招生计划</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日前报开发区·</w:t>
      </w:r>
      <w:r>
        <w:rPr>
          <w:rFonts w:hint="eastAsia" w:ascii="仿宋_GB2312" w:hAnsi="仿宋_GB2312" w:eastAsia="仿宋_GB2312" w:cs="仿宋_GB2312"/>
          <w:sz w:val="32"/>
          <w:szCs w:val="32"/>
          <w:lang w:eastAsia="zh-CN"/>
        </w:rPr>
        <w:t>铁山区教育</w:t>
      </w:r>
      <w:r>
        <w:rPr>
          <w:rFonts w:hint="eastAsia" w:ascii="仿宋_GB2312" w:hAnsi="仿宋_GB2312" w:eastAsia="仿宋_GB2312" w:cs="仿宋_GB2312"/>
          <w:sz w:val="32"/>
          <w:szCs w:val="32"/>
        </w:rPr>
        <w:t>局审核。</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4</w:t>
      </w:r>
      <w:r>
        <w:rPr>
          <w:rFonts w:hint="eastAsia" w:ascii="仿宋_GB2312" w:hAnsi="仿宋_GB2312" w:eastAsia="仿宋_GB2312" w:cs="仿宋_GB2312"/>
          <w:b/>
          <w:sz w:val="32"/>
          <w:szCs w:val="32"/>
          <w:lang w:val="en-US" w:eastAsia="zh-CN"/>
        </w:rPr>
        <w:t>.</w:t>
      </w:r>
      <w:r>
        <w:rPr>
          <w:rFonts w:hint="eastAsia" w:ascii="仿宋_GB2312" w:hAnsi="仿宋_GB2312" w:eastAsia="仿宋_GB2312" w:cs="仿宋_GB2312"/>
          <w:b/>
          <w:sz w:val="32"/>
          <w:szCs w:val="32"/>
        </w:rPr>
        <w:t>统一招生时间。</w:t>
      </w:r>
      <w:r>
        <w:rPr>
          <w:rFonts w:hint="eastAsia" w:ascii="仿宋_GB2312" w:hAnsi="仿宋_GB2312" w:eastAsia="仿宋_GB2312" w:cs="仿宋_GB2312"/>
          <w:sz w:val="32"/>
          <w:szCs w:val="32"/>
        </w:rPr>
        <w:t>7月5日—7月15日登记本学区完全符合条件的新生。8月15日—21日登记外来务工人员随迁子女就读信息。</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5</w:t>
      </w:r>
      <w:r>
        <w:rPr>
          <w:rFonts w:hint="eastAsia" w:ascii="仿宋_GB2312" w:hAnsi="仿宋_GB2312" w:eastAsia="仿宋_GB2312" w:cs="仿宋_GB2312"/>
          <w:b/>
          <w:sz w:val="32"/>
          <w:szCs w:val="32"/>
          <w:lang w:val="en-US" w:eastAsia="zh-CN"/>
        </w:rPr>
        <w:t>.</w:t>
      </w:r>
      <w:r>
        <w:rPr>
          <w:rFonts w:hint="eastAsia" w:ascii="仿宋_GB2312" w:hAnsi="仿宋_GB2312" w:eastAsia="仿宋_GB2312" w:cs="仿宋_GB2312"/>
          <w:b/>
          <w:sz w:val="32"/>
          <w:szCs w:val="32"/>
        </w:rPr>
        <w:t>统一招生程序。</w:t>
      </w:r>
      <w:r>
        <w:rPr>
          <w:rFonts w:hint="eastAsia" w:ascii="仿宋_GB2312" w:hAnsi="仿宋_GB2312" w:eastAsia="仿宋_GB2312" w:cs="仿宋_GB2312"/>
          <w:sz w:val="32"/>
          <w:szCs w:val="32"/>
        </w:rPr>
        <w:t>7月5日之前各校公布新生注册登记、审查内容及报到注册时间、发放《入学通知书》时间等。小学、初中继续实行免试入学制度，严禁组织学科知识和能力方面的招生考试，严禁委托或变相委托第三方组织学科知识和能力方面的招生考试。</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lang w:val="en-US" w:eastAsia="zh-CN"/>
        </w:rPr>
        <w:t>.</w:t>
      </w:r>
      <w:r>
        <w:rPr>
          <w:rFonts w:hint="eastAsia" w:ascii="仿宋_GB2312" w:hAnsi="仿宋_GB2312" w:eastAsia="仿宋_GB2312" w:cs="仿宋_GB2312"/>
          <w:b/>
          <w:sz w:val="32"/>
          <w:szCs w:val="32"/>
        </w:rPr>
        <w:t>统一审核内容。</w:t>
      </w:r>
      <w:r>
        <w:rPr>
          <w:rFonts w:hint="eastAsia" w:ascii="仿宋_GB2312" w:hAnsi="仿宋_GB2312" w:eastAsia="仿宋_GB2312" w:cs="仿宋_GB2312"/>
          <w:sz w:val="32"/>
          <w:szCs w:val="32"/>
        </w:rPr>
        <w:t>登记新生信息时，统一审查户籍信息、监护人身份信息、健康证（接种证）、外来务工有关证明等相关资料，做好新生入学的相关工作。其中区内非本校招生区域的适龄儿童必须持户口本、本校招生区域内的居住证明方可办理入学手续；外来务工或经商人员必须持户口本、在本校招生区域的居住证明、务工</w:t>
      </w:r>
      <w:r>
        <w:rPr>
          <w:rFonts w:hint="eastAsia" w:ascii="仿宋_GB2312" w:hAnsi="仿宋_GB2312" w:eastAsia="仿宋_GB2312" w:cs="仿宋_GB2312"/>
          <w:sz w:val="32"/>
          <w:szCs w:val="32"/>
          <w:lang w:eastAsia="zh-CN"/>
        </w:rPr>
        <w:t>证明</w:t>
      </w:r>
      <w:r>
        <w:rPr>
          <w:rFonts w:hint="eastAsia" w:ascii="仿宋_GB2312" w:hAnsi="仿宋_GB2312" w:eastAsia="仿宋_GB2312" w:cs="仿宋_GB2312"/>
          <w:sz w:val="32"/>
          <w:szCs w:val="32"/>
        </w:rPr>
        <w:t>或经商证明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方可为其子女办理入学手续。</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lang w:val="en-US" w:eastAsia="zh-CN"/>
        </w:rPr>
        <w:t>.</w:t>
      </w:r>
      <w:r>
        <w:rPr>
          <w:rFonts w:hint="eastAsia" w:ascii="仿宋_GB2312" w:hAnsi="仿宋_GB2312" w:eastAsia="仿宋_GB2312" w:cs="仿宋_GB2312"/>
          <w:b/>
          <w:sz w:val="32"/>
          <w:szCs w:val="32"/>
        </w:rPr>
        <w:t>统一公布招生名单。</w:t>
      </w:r>
      <w:r>
        <w:rPr>
          <w:rFonts w:hint="eastAsia" w:ascii="仿宋_GB2312" w:hAnsi="仿宋_GB2312" w:eastAsia="仿宋_GB2312" w:cs="仿宋_GB2312"/>
          <w:sz w:val="32"/>
          <w:szCs w:val="32"/>
        </w:rPr>
        <w:t>8月26日前各校应通过合适方式向社会公布新生名单。</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8</w:t>
      </w:r>
      <w:r>
        <w:rPr>
          <w:rFonts w:hint="eastAsia" w:ascii="仿宋_GB2312" w:hAnsi="仿宋_GB2312" w:eastAsia="仿宋_GB2312" w:cs="仿宋_GB2312"/>
          <w:b/>
          <w:sz w:val="32"/>
          <w:szCs w:val="32"/>
          <w:lang w:val="en-US" w:eastAsia="zh-CN"/>
        </w:rPr>
        <w:t>.</w:t>
      </w:r>
      <w:r>
        <w:rPr>
          <w:rFonts w:hint="eastAsia" w:ascii="仿宋_GB2312" w:hAnsi="仿宋_GB2312" w:eastAsia="仿宋_GB2312" w:cs="仿宋_GB2312"/>
          <w:b/>
          <w:sz w:val="32"/>
          <w:szCs w:val="32"/>
        </w:rPr>
        <w:t>统一发放《入学通知书》。</w:t>
      </w:r>
      <w:r>
        <w:rPr>
          <w:rFonts w:hint="eastAsia" w:ascii="仿宋_GB2312" w:hAnsi="仿宋_GB2312" w:eastAsia="仿宋_GB2312" w:cs="仿宋_GB2312"/>
          <w:sz w:val="32"/>
          <w:szCs w:val="32"/>
        </w:rPr>
        <w:t>8月28日之前，各中小学校要通过合适方式及时将学生入学通知书发放到学生家长或监护人手里。</w:t>
      </w:r>
    </w:p>
    <w:p>
      <w:pPr>
        <w:keepNext w:val="0"/>
        <w:keepLines w:val="0"/>
        <w:pageBreakBefore w:val="0"/>
        <w:widowControl w:val="0"/>
        <w:kinsoku/>
        <w:wordWrap/>
        <w:overflowPunct/>
        <w:topLinePunct w:val="0"/>
        <w:autoSpaceDE/>
        <w:autoSpaceDN/>
        <w:bidi w:val="0"/>
        <w:adjustRightInd w:val="0"/>
        <w:snapToGrid w:val="0"/>
        <w:spacing w:line="500" w:lineRule="exact"/>
        <w:ind w:firstLine="320" w:firstLineChars="100"/>
        <w:textAlignment w:val="auto"/>
        <w:rPr>
          <w:rFonts w:ascii="楷体" w:hAnsi="楷体" w:eastAsia="楷体"/>
          <w:b/>
          <w:sz w:val="32"/>
          <w:szCs w:val="32"/>
        </w:rPr>
      </w:pPr>
      <w:r>
        <w:rPr>
          <w:rFonts w:hint="eastAsia" w:ascii="楷体" w:hAnsi="楷体" w:eastAsia="楷体"/>
          <w:b w:val="0"/>
          <w:bCs/>
          <w:sz w:val="32"/>
          <w:szCs w:val="32"/>
        </w:rPr>
        <w:t>（二）加强学籍管理，监控学生跨县（市）区流动</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要切实加强招生计划管理，学校不得组织任何形式的招生考试，不得到非</w:t>
      </w:r>
      <w:r>
        <w:rPr>
          <w:rFonts w:hint="eastAsia" w:ascii="仿宋_GB2312" w:hAnsi="仿宋_GB2312" w:eastAsia="仿宋_GB2312" w:cs="仿宋_GB2312"/>
          <w:sz w:val="32"/>
          <w:szCs w:val="32"/>
          <w:lang w:eastAsia="zh-CN"/>
        </w:rPr>
        <w:t>招生区域</w:t>
      </w:r>
      <w:r>
        <w:rPr>
          <w:rFonts w:hint="eastAsia" w:ascii="仿宋_GB2312" w:hAnsi="仿宋_GB2312" w:eastAsia="仿宋_GB2312" w:cs="仿宋_GB2312"/>
          <w:sz w:val="32"/>
          <w:szCs w:val="32"/>
        </w:rPr>
        <w:t>进行招生宣传，招揽生源，违规招生。学校要充分发挥学籍管理系统的相关作用，通过学籍管理，及时掌握学生流动和辍学情况，减少学生无序流动，全面实行就近入学，加强控辍保学。严格执行湖北省教育厅关于中小学生学籍管理的相关规定，规范学籍管理程序，提高学籍信息质量，任何学校不得以学籍问题为由拒收学生，学生被学校招收后，原来已有学籍的，接收学校要通过全国学籍系统为学生转接学籍，原来没有学籍的，要为学生新建学籍，实现“人籍一致”。严禁对在校学生实施开除、退学、强制转学、拒绝报名等行为。</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楷体" w:hAnsi="楷体" w:eastAsia="楷体"/>
          <w:b/>
          <w:sz w:val="32"/>
          <w:szCs w:val="32"/>
        </w:rPr>
      </w:pPr>
      <w:r>
        <w:rPr>
          <w:rFonts w:hint="eastAsia" w:ascii="楷体" w:hAnsi="楷体" w:eastAsia="楷体"/>
          <w:b w:val="0"/>
          <w:bCs/>
          <w:sz w:val="32"/>
          <w:szCs w:val="32"/>
        </w:rPr>
        <w:t>（三）平衡分班，促进教育公平</w:t>
      </w:r>
    </w:p>
    <w:p>
      <w:pPr>
        <w:keepNext w:val="0"/>
        <w:keepLines w:val="0"/>
        <w:widowControl/>
        <w:suppressLineNumbers w:val="0"/>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严禁违规办班，义务教育阶段学校一律不得举办重点班、实验班、特长班，起始年级学生实行阳光编班；</w:t>
      </w:r>
      <w:r>
        <w:rPr>
          <w:rFonts w:hint="eastAsia" w:ascii="仿宋_GB2312" w:hAnsi="仿宋_GB2312" w:eastAsia="仿宋_GB2312" w:cs="仿宋_GB2312"/>
          <w:sz w:val="32"/>
          <w:szCs w:val="32"/>
          <w:lang w:eastAsia="zh-CN"/>
        </w:rPr>
        <w:t>严禁</w:t>
      </w:r>
      <w:r>
        <w:rPr>
          <w:rFonts w:ascii="仿宋_GB2312" w:hAnsi="仿宋_GB2312" w:eastAsia="仿宋_GB2312" w:cs="仿宋_GB2312"/>
          <w:color w:val="000000"/>
          <w:kern w:val="0"/>
          <w:sz w:val="32"/>
          <w:szCs w:val="32"/>
          <w:lang w:val="en-US" w:eastAsia="zh-CN" w:bidi="ar"/>
        </w:rPr>
        <w:t>56 人及以上大班额</w:t>
      </w:r>
      <w:r>
        <w:rPr>
          <w:rFonts w:hint="eastAsia" w:ascii="仿宋_GB2312" w:hAnsi="仿宋_GB2312" w:eastAsia="仿宋_GB2312" w:cs="仿宋_GB2312"/>
          <w:color w:val="000000"/>
          <w:kern w:val="0"/>
          <w:sz w:val="32"/>
          <w:szCs w:val="32"/>
          <w:lang w:val="en-US" w:eastAsia="zh-CN" w:bidi="ar"/>
        </w:rPr>
        <w:t>，铁山街道</w:t>
      </w:r>
      <w:r>
        <w:rPr>
          <w:rFonts w:hint="eastAsia" w:ascii="仿宋_GB2312" w:hAnsi="仿宋_GB2312" w:eastAsia="仿宋_GB2312" w:cs="仿宋_GB2312"/>
          <w:sz w:val="32"/>
          <w:szCs w:val="32"/>
        </w:rPr>
        <w:t>小学每班不超过45人，初中每班不超过50人；科学安排班级数，要保持同年级班额平衡，在不超过班额的基础上最小化班级数。学校要成立由校长、教师、家长、纪检监察等方面人员组成的编班工作委员会，实行学生随机编班，班主任随机抽班，并及时公示。学校的编班结果必须报开发区·</w:t>
      </w:r>
      <w:r>
        <w:rPr>
          <w:rFonts w:hint="eastAsia" w:ascii="仿宋_GB2312" w:hAnsi="仿宋_GB2312" w:eastAsia="仿宋_GB2312" w:cs="仿宋_GB2312"/>
          <w:sz w:val="32"/>
          <w:szCs w:val="32"/>
          <w:lang w:eastAsia="zh-CN"/>
        </w:rPr>
        <w:t>铁山区教育</w:t>
      </w:r>
      <w:r>
        <w:rPr>
          <w:rFonts w:hint="eastAsia" w:ascii="仿宋_GB2312" w:hAnsi="仿宋_GB2312" w:eastAsia="仿宋_GB2312" w:cs="仿宋_GB2312"/>
          <w:sz w:val="32"/>
          <w:szCs w:val="32"/>
        </w:rPr>
        <w:t>局备案审核。</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黑体" w:hAnsi="黑体" w:eastAsia="黑体"/>
          <w:sz w:val="32"/>
          <w:szCs w:val="32"/>
        </w:rPr>
      </w:pPr>
      <w:r>
        <w:rPr>
          <w:rFonts w:hint="eastAsia" w:ascii="黑体" w:hAnsi="黑体" w:eastAsia="黑体"/>
          <w:sz w:val="32"/>
          <w:szCs w:val="32"/>
        </w:rPr>
        <w:t>四、工作要求</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楷体" w:hAnsi="楷体" w:eastAsia="楷体"/>
          <w:b w:val="0"/>
          <w:bCs/>
          <w:sz w:val="32"/>
          <w:szCs w:val="32"/>
        </w:rPr>
      </w:pPr>
      <w:r>
        <w:rPr>
          <w:rFonts w:hint="eastAsia" w:ascii="楷体" w:hAnsi="楷体" w:eastAsia="楷体"/>
          <w:b w:val="0"/>
          <w:bCs/>
          <w:sz w:val="32"/>
          <w:szCs w:val="32"/>
        </w:rPr>
        <w:t>（一）保障权益，防流控辍</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各学校要妥善安排流动人口子女（特别是来区务工人员子女）就近接受义务教育，要确保流动人口子女与本地居民子女享受同等待遇。</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要密切关注留守儿童、残疾儿童、家庭困难儿童等特殊群体的入学工作，根据实际组织教师深入学生家庭走访，了解学生实际困难，研究帮扶助学措施，消除学生辍学隐患，保障每一位适龄儿童、少年的入学权益。</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楷体" w:hAnsi="楷体" w:eastAsia="楷体"/>
          <w:b w:val="0"/>
          <w:bCs/>
          <w:sz w:val="32"/>
          <w:szCs w:val="32"/>
        </w:rPr>
      </w:pPr>
      <w:r>
        <w:rPr>
          <w:rFonts w:hint="eastAsia" w:ascii="楷体" w:hAnsi="楷体" w:eastAsia="楷体"/>
          <w:b w:val="0"/>
          <w:bCs/>
          <w:sz w:val="32"/>
          <w:szCs w:val="32"/>
        </w:rPr>
        <w:t>（二）加强宣传，主动服务</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各校在招生入学关键环节和关键时间，积极做好正面宣传。要将核心政策内容制成通俗易懂的宣传材料，便于群众理解和使用。要采取家访、发放宣传单、开展“教育服务在身边”等多种形式的活动，面对面为群众释疑解惑，提高招生宣传的针对性和实效性。</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各校要设立举报电话、邮箱等联系方式，畅通社会反映问题渠道，及时处理，防止积少成多，积小成大。发生问题时，应第一时间报告、协商和处理，确保学生及时入学升学。</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楷体" w:hAnsi="楷体" w:eastAsia="楷体"/>
          <w:b w:val="0"/>
          <w:bCs/>
          <w:sz w:val="32"/>
          <w:szCs w:val="32"/>
        </w:rPr>
      </w:pPr>
      <w:r>
        <w:rPr>
          <w:rFonts w:hint="eastAsia" w:ascii="楷体" w:hAnsi="楷体" w:eastAsia="楷体"/>
          <w:b w:val="0"/>
          <w:bCs/>
          <w:sz w:val="32"/>
          <w:szCs w:val="32"/>
        </w:rPr>
        <w:t>（三）严肃纪律，规范行为</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招生工作是一项政策性强，社会关注度高的工作，各学校要提高认识，加强领导，严格招生纪律，规范招生行为。对招生工作中有违规行为的中小学校，将组织专班调查，对情节严重的将按市教育局《关于重申和严格执行中小学校招生行为“十不准”的通知》( 黄教基</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rPr>
        <w:t>2016</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rPr>
        <w:t>17号) 文件要求进行查处，并督促整改到位。</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招生咨询电话：639</w:t>
      </w:r>
      <w:r>
        <w:rPr>
          <w:rFonts w:hint="eastAsia" w:ascii="仿宋_GB2312" w:hAnsi="仿宋_GB2312" w:eastAsia="仿宋_GB2312" w:cs="仿宋_GB2312"/>
          <w:sz w:val="32"/>
          <w:szCs w:val="32"/>
          <w:lang w:val="en-US" w:eastAsia="zh-CN"/>
        </w:rPr>
        <w:t>5902</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系</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：余</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胜</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附件1：开发区·</w:t>
      </w:r>
      <w:r>
        <w:rPr>
          <w:rFonts w:hint="eastAsia" w:ascii="仿宋_GB2312" w:hAnsi="仿宋_GB2312" w:eastAsia="仿宋_GB2312" w:cs="仿宋_GB2312"/>
          <w:sz w:val="32"/>
          <w:szCs w:val="32"/>
          <w:lang w:eastAsia="zh-CN"/>
        </w:rPr>
        <w:t>铁山区</w:t>
      </w:r>
      <w:r>
        <w:rPr>
          <w:rFonts w:hint="eastAsia" w:ascii="仿宋_GB2312" w:hAnsi="仿宋_GB2312" w:eastAsia="仿宋_GB2312" w:cs="仿宋_GB2312"/>
          <w:sz w:val="32"/>
          <w:szCs w:val="32"/>
        </w:rPr>
        <w:t>中小学招生区域划分安排表</w:t>
      </w:r>
    </w:p>
    <w:p>
      <w:pPr>
        <w:keepNext w:val="0"/>
        <w:keepLines w:val="0"/>
        <w:pageBreakBefore w:val="0"/>
        <w:widowControl w:val="0"/>
        <w:kinsoku/>
        <w:wordWrap/>
        <w:overflowPunct/>
        <w:topLinePunct w:val="0"/>
        <w:autoSpaceDE/>
        <w:autoSpaceDN/>
        <w:bidi w:val="0"/>
        <w:spacing w:line="500" w:lineRule="exact"/>
        <w:ind w:left="1280" w:hanging="1280" w:hangingChars="4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附件2：开发区·</w:t>
      </w:r>
      <w:r>
        <w:rPr>
          <w:rFonts w:hint="eastAsia" w:ascii="仿宋_GB2312" w:hAnsi="仿宋_GB2312" w:eastAsia="仿宋_GB2312" w:cs="仿宋_GB2312"/>
          <w:sz w:val="32"/>
          <w:szCs w:val="32"/>
          <w:lang w:eastAsia="zh-CN"/>
        </w:rPr>
        <w:t>铁山区</w:t>
      </w:r>
      <w:r>
        <w:rPr>
          <w:rFonts w:hint="eastAsia" w:ascii="仿宋_GB2312" w:hAnsi="仿宋_GB2312" w:eastAsia="仿宋_GB2312" w:cs="仿宋_GB2312"/>
          <w:color w:val="000000"/>
          <w:kern w:val="0"/>
          <w:sz w:val="32"/>
          <w:szCs w:val="32"/>
        </w:rPr>
        <w:t>初中学校招生计划及编班情况备案表</w:t>
      </w:r>
    </w:p>
    <w:p>
      <w:pPr>
        <w:keepNext w:val="0"/>
        <w:keepLines w:val="0"/>
        <w:pageBreakBefore w:val="0"/>
        <w:widowControl w:val="0"/>
        <w:kinsoku/>
        <w:wordWrap/>
        <w:overflowPunct/>
        <w:topLinePunct w:val="0"/>
        <w:autoSpaceDE/>
        <w:autoSpaceDN/>
        <w:bidi w:val="0"/>
        <w:spacing w:line="500" w:lineRule="exact"/>
        <w:ind w:left="1280" w:hanging="1280" w:hangingChars="4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附件3：</w:t>
      </w:r>
      <w:r>
        <w:rPr>
          <w:rFonts w:hint="eastAsia" w:ascii="仿宋_GB2312" w:hAnsi="仿宋_GB2312" w:eastAsia="仿宋_GB2312" w:cs="仿宋_GB2312"/>
          <w:sz w:val="32"/>
          <w:szCs w:val="32"/>
        </w:rPr>
        <w:t>开发区·</w:t>
      </w:r>
      <w:r>
        <w:rPr>
          <w:rFonts w:hint="eastAsia" w:ascii="仿宋_GB2312" w:hAnsi="仿宋_GB2312" w:eastAsia="仿宋_GB2312" w:cs="仿宋_GB2312"/>
          <w:sz w:val="32"/>
          <w:szCs w:val="32"/>
          <w:lang w:eastAsia="zh-CN"/>
        </w:rPr>
        <w:t>铁山区</w:t>
      </w:r>
      <w:r>
        <w:rPr>
          <w:rFonts w:hint="eastAsia" w:ascii="仿宋_GB2312" w:hAnsi="仿宋_GB2312" w:eastAsia="仿宋_GB2312" w:cs="仿宋_GB2312"/>
          <w:color w:val="000000"/>
          <w:kern w:val="0"/>
          <w:sz w:val="32"/>
          <w:szCs w:val="32"/>
        </w:rPr>
        <w:t>中心小学招生计划及编班情况备案表</w:t>
      </w:r>
    </w:p>
    <w:p>
      <w:pPr>
        <w:keepNext w:val="0"/>
        <w:keepLines w:val="0"/>
        <w:pageBreakBefore w:val="0"/>
        <w:widowControl w:val="0"/>
        <w:kinsoku/>
        <w:wordWrap/>
        <w:overflowPunct/>
        <w:topLinePunct w:val="0"/>
        <w:autoSpaceDE/>
        <w:autoSpaceDN/>
        <w:bidi w:val="0"/>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spacing w:line="520" w:lineRule="exact"/>
        <w:textAlignment w:val="auto"/>
        <w:rPr>
          <w:rFonts w:hint="eastAsia" w:ascii="仿宋_GB2312" w:hAnsi="仿宋_GB2312" w:eastAsia="仿宋_GB2312" w:cs="仿宋_GB2312"/>
          <w:bCs/>
          <w:sz w:val="28"/>
          <w:szCs w:val="28"/>
        </w:rPr>
      </w:pPr>
    </w:p>
    <w:p>
      <w:pPr>
        <w:keepNext w:val="0"/>
        <w:keepLines w:val="0"/>
        <w:pageBreakBefore w:val="0"/>
        <w:widowControl w:val="0"/>
        <w:kinsoku/>
        <w:wordWrap/>
        <w:overflowPunct/>
        <w:topLinePunct w:val="0"/>
        <w:autoSpaceDE/>
        <w:autoSpaceDN/>
        <w:bidi w:val="0"/>
        <w:spacing w:line="520" w:lineRule="exact"/>
        <w:textAlignment w:val="auto"/>
        <w:rPr>
          <w:rFonts w:hint="eastAsia" w:ascii="仿宋" w:hAnsi="仿宋" w:eastAsia="仿宋" w:cs="仿宋_GB2312"/>
          <w:bCs/>
          <w:sz w:val="28"/>
          <w:szCs w:val="28"/>
        </w:rPr>
      </w:pPr>
    </w:p>
    <w:p>
      <w:pPr>
        <w:keepNext w:val="0"/>
        <w:keepLines w:val="0"/>
        <w:pageBreakBefore w:val="0"/>
        <w:widowControl w:val="0"/>
        <w:kinsoku/>
        <w:wordWrap/>
        <w:overflowPunct/>
        <w:topLinePunct w:val="0"/>
        <w:autoSpaceDE/>
        <w:autoSpaceDN/>
        <w:bidi w:val="0"/>
        <w:spacing w:line="520" w:lineRule="exact"/>
        <w:textAlignment w:val="auto"/>
        <w:rPr>
          <w:rFonts w:hint="eastAsia" w:ascii="仿宋" w:hAnsi="仿宋" w:eastAsia="仿宋" w:cs="仿宋_GB2312"/>
          <w:bCs/>
          <w:sz w:val="28"/>
          <w:szCs w:val="28"/>
        </w:rPr>
      </w:pPr>
    </w:p>
    <w:p>
      <w:pPr>
        <w:spacing w:line="560" w:lineRule="exact"/>
        <w:rPr>
          <w:rFonts w:hint="eastAsia" w:ascii="仿宋" w:hAnsi="仿宋" w:eastAsia="仿宋" w:cs="仿宋_GB2312"/>
          <w:bCs/>
          <w:sz w:val="28"/>
          <w:szCs w:val="28"/>
        </w:rPr>
      </w:pPr>
    </w:p>
    <w:p>
      <w:pPr>
        <w:spacing w:line="560" w:lineRule="exact"/>
        <w:rPr>
          <w:rFonts w:hint="eastAsia" w:ascii="仿宋" w:hAnsi="仿宋" w:eastAsia="仿宋" w:cs="仿宋_GB2312"/>
          <w:bCs/>
          <w:sz w:val="28"/>
          <w:szCs w:val="28"/>
        </w:rPr>
      </w:pPr>
    </w:p>
    <w:p>
      <w:pPr>
        <w:spacing w:line="560" w:lineRule="exact"/>
        <w:rPr>
          <w:rFonts w:hint="eastAsia" w:ascii="仿宋" w:hAnsi="仿宋" w:eastAsia="仿宋" w:cs="仿宋_GB2312"/>
          <w:bCs/>
          <w:sz w:val="28"/>
          <w:szCs w:val="28"/>
        </w:rPr>
      </w:pPr>
    </w:p>
    <w:p>
      <w:pPr>
        <w:spacing w:line="560" w:lineRule="exact"/>
        <w:rPr>
          <w:rFonts w:hint="eastAsia" w:ascii="仿宋" w:hAnsi="仿宋" w:eastAsia="仿宋" w:cs="仿宋_GB2312"/>
          <w:bCs/>
          <w:sz w:val="28"/>
          <w:szCs w:val="28"/>
        </w:rPr>
      </w:pPr>
    </w:p>
    <w:p>
      <w:pPr>
        <w:spacing w:line="560" w:lineRule="exact"/>
        <w:rPr>
          <w:rFonts w:hint="eastAsia" w:ascii="仿宋" w:hAnsi="仿宋" w:eastAsia="仿宋" w:cs="仿宋_GB2312"/>
          <w:bCs/>
          <w:sz w:val="28"/>
          <w:szCs w:val="28"/>
        </w:rPr>
      </w:pPr>
    </w:p>
    <w:p>
      <w:pPr>
        <w:spacing w:line="560" w:lineRule="exact"/>
        <w:rPr>
          <w:rFonts w:hint="eastAsia" w:ascii="仿宋" w:hAnsi="仿宋" w:eastAsia="仿宋" w:cs="仿宋_GB2312"/>
          <w:bCs/>
          <w:sz w:val="28"/>
          <w:szCs w:val="28"/>
        </w:rPr>
      </w:pPr>
    </w:p>
    <w:p>
      <w:pPr>
        <w:spacing w:line="560" w:lineRule="exact"/>
        <w:rPr>
          <w:rFonts w:hint="eastAsia" w:ascii="仿宋" w:hAnsi="仿宋" w:eastAsia="仿宋" w:cs="仿宋_GB2312"/>
          <w:bCs/>
          <w:sz w:val="28"/>
          <w:szCs w:val="28"/>
        </w:rPr>
      </w:pPr>
    </w:p>
    <w:p>
      <w:pPr>
        <w:spacing w:line="560" w:lineRule="exact"/>
        <w:rPr>
          <w:rFonts w:hint="eastAsia" w:ascii="仿宋_GB2312" w:hAnsi="仿宋_GB2312" w:eastAsia="仿宋_GB2312" w:cs="仿宋_GB2312"/>
          <w:b/>
          <w:bCs w:val="0"/>
          <w:sz w:val="28"/>
          <w:szCs w:val="28"/>
        </w:rPr>
      </w:pPr>
    </w:p>
    <w:p>
      <w:pPr>
        <w:spacing w:line="560" w:lineRule="exact"/>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附件1</w:t>
      </w:r>
    </w:p>
    <w:p>
      <w:pPr>
        <w:spacing w:line="560" w:lineRule="exact"/>
        <w:ind w:firstLine="883" w:firstLineChars="200"/>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开发区中小学招生区域划分安排表</w:t>
      </w:r>
    </w:p>
    <w:p>
      <w:pPr>
        <w:spacing w:line="560" w:lineRule="exact"/>
        <w:ind w:firstLine="562" w:firstLineChars="200"/>
        <w:rPr>
          <w:rFonts w:ascii="新宋体" w:hAnsi="新宋体" w:eastAsia="新宋体"/>
          <w:b/>
          <w:sz w:val="28"/>
          <w:szCs w:val="28"/>
        </w:rPr>
      </w:pPr>
    </w:p>
    <w:p>
      <w:pPr>
        <w:spacing w:line="560" w:lineRule="exact"/>
        <w:rPr>
          <w:rFonts w:hint="eastAsia" w:ascii="楷体_GB2312" w:hAnsi="楷体_GB2312" w:eastAsia="楷体_GB2312" w:cs="楷体_GB2312"/>
          <w:b/>
          <w:sz w:val="10"/>
          <w:szCs w:val="10"/>
        </w:rPr>
      </w:pPr>
      <w:r>
        <w:rPr>
          <w:rFonts w:hint="eastAsia" w:ascii="楷体_GB2312" w:hAnsi="楷体_GB2312" w:eastAsia="楷体_GB2312" w:cs="楷体_GB2312"/>
          <w:b/>
          <w:sz w:val="30"/>
          <w:szCs w:val="30"/>
        </w:rPr>
        <w:t>一、开发区小学招生片区划分安排表</w:t>
      </w:r>
    </w:p>
    <w:tbl>
      <w:tblPr>
        <w:tblStyle w:val="4"/>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3"/>
        <w:gridCol w:w="2464"/>
        <w:gridCol w:w="1401"/>
        <w:gridCol w:w="1210"/>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tcPr>
          <w:p>
            <w:pPr>
              <w:tabs>
                <w:tab w:val="left" w:pos="840"/>
              </w:tabs>
              <w:spacing w:line="42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片区</w:t>
            </w:r>
          </w:p>
        </w:tc>
        <w:tc>
          <w:tcPr>
            <w:tcW w:w="2464" w:type="dxa"/>
            <w:vAlign w:val="center"/>
          </w:tcPr>
          <w:p>
            <w:pPr>
              <w:tabs>
                <w:tab w:val="left" w:pos="840"/>
              </w:tabs>
              <w:spacing w:line="42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行政村</w:t>
            </w:r>
          </w:p>
        </w:tc>
        <w:tc>
          <w:tcPr>
            <w:tcW w:w="1401" w:type="dxa"/>
            <w:vAlign w:val="center"/>
          </w:tcPr>
          <w:p>
            <w:pPr>
              <w:tabs>
                <w:tab w:val="left" w:pos="840"/>
              </w:tabs>
              <w:spacing w:line="42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片区属性</w:t>
            </w:r>
          </w:p>
        </w:tc>
        <w:tc>
          <w:tcPr>
            <w:tcW w:w="1210" w:type="dxa"/>
            <w:vAlign w:val="center"/>
          </w:tcPr>
          <w:p>
            <w:pPr>
              <w:tabs>
                <w:tab w:val="left" w:pos="840"/>
              </w:tabs>
              <w:spacing w:line="42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片区说明</w:t>
            </w:r>
          </w:p>
        </w:tc>
        <w:tc>
          <w:tcPr>
            <w:tcW w:w="2372" w:type="dxa"/>
            <w:vAlign w:val="center"/>
          </w:tcPr>
          <w:p>
            <w:pPr>
              <w:tabs>
                <w:tab w:val="left" w:pos="840"/>
              </w:tabs>
              <w:spacing w:line="42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对应小学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restart"/>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 xml:space="preserve">章山街道    </w:t>
            </w: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龙山村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龙山小学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滨湖村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龙山小学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五湖村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龙泉小学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章山村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龙泉小学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下段村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龙泉小学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Borders>
              <w:bottom w:val="single" w:color="auto" w:sz="4" w:space="0"/>
            </w:tcBorders>
          </w:tcPr>
          <w:p>
            <w:pPr>
              <w:tabs>
                <w:tab w:val="left" w:pos="840"/>
              </w:tabs>
              <w:spacing w:line="420" w:lineRule="exact"/>
              <w:jc w:val="center"/>
              <w:rPr>
                <w:rFonts w:hint="eastAsia" w:ascii="仿宋_GB2312" w:hAnsi="仿宋_GB2312" w:eastAsia="仿宋_GB2312" w:cs="仿宋_GB2312"/>
                <w:sz w:val="24"/>
              </w:rPr>
            </w:pPr>
          </w:p>
        </w:tc>
        <w:tc>
          <w:tcPr>
            <w:tcW w:w="2464" w:type="dxa"/>
            <w:tcBorders>
              <w:bottom w:val="single" w:color="auto" w:sz="4" w:space="0"/>
            </w:tcBorders>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龙泉村</w:t>
            </w:r>
          </w:p>
        </w:tc>
        <w:tc>
          <w:tcPr>
            <w:tcW w:w="1401" w:type="dxa"/>
            <w:tcBorders>
              <w:bottom w:val="single" w:color="auto" w:sz="4" w:space="0"/>
            </w:tcBorders>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tcBorders>
              <w:bottom w:val="single" w:color="auto" w:sz="4" w:space="0"/>
            </w:tcBorders>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tcBorders>
              <w:bottom w:val="single" w:color="auto" w:sz="4" w:space="0"/>
            </w:tcBorders>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龙泉小学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restart"/>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汪仁镇</w:t>
            </w:r>
          </w:p>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庆洪村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庆洪小学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徐斌村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庆洪小学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曾家湾村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庆洪小学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沿湖村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沿湖小学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王叶村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王叶小学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黄荆头村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王叶小学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四连山村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王叶小学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竹林湾村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竹林湾小学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大塘村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竹林湾小学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枯树咀村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竹林湾小学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汪仁村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汪仁小学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分水岭村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汪仁小学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马鞍山村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汪仁小学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汪仁社区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汪仁小学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王贵村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柏树下村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章畈村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章畈小学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刘铺村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刘铺小学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天井咀村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刘铺小学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磊山村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刘铺小学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restart"/>
          </w:tcPr>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金山街道</w:t>
            </w: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百花还建点一期</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已入住居民子女</w:t>
            </w:r>
          </w:p>
        </w:tc>
        <w:tc>
          <w:tcPr>
            <w:tcW w:w="2372"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企业小区（美地金城区域等商居小区）</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已入住居民子女</w:t>
            </w:r>
          </w:p>
        </w:tc>
        <w:tc>
          <w:tcPr>
            <w:tcW w:w="2372"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黄金山三小、四棵小学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exact"/>
        </w:trPr>
        <w:tc>
          <w:tcPr>
            <w:tcW w:w="1273" w:type="dxa"/>
            <w:vMerge w:val="restart"/>
          </w:tcPr>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金山街道</w:t>
            </w: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百花还建点二期</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已入住居民子女</w:t>
            </w:r>
          </w:p>
        </w:tc>
        <w:tc>
          <w:tcPr>
            <w:tcW w:w="2372"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黄金山三小、四棵小学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exact"/>
        </w:trPr>
        <w:tc>
          <w:tcPr>
            <w:tcW w:w="1273"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四棵村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exact"/>
        </w:trPr>
        <w:tc>
          <w:tcPr>
            <w:tcW w:w="1273"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路平村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exact"/>
        </w:trPr>
        <w:tc>
          <w:tcPr>
            <w:tcW w:w="1273"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四棵社区（四棵社区与金山街办中间主干道路东部分）</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四棵社区（四棵社区与金山街办中间主干道路西部分）</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大路小学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大路村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大路小学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王坛村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大路小学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明港村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明港小学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圣水泉村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 w:hAnsi="仿宋" w:eastAsia="仿宋"/>
                <w:color w:val="auto"/>
                <w:sz w:val="24"/>
              </w:rPr>
              <w:t>黄金山三小</w:t>
            </w:r>
            <w:r>
              <w:rPr>
                <w:rFonts w:hint="eastAsia" w:ascii="仿宋_GB2312" w:hAnsi="仿宋_GB2312" w:eastAsia="仿宋_GB2312" w:cs="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奥山星城</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 w:hAnsi="仿宋" w:eastAsia="仿宋"/>
                <w:color w:val="auto"/>
                <w:sz w:val="24"/>
              </w:rPr>
              <w:t>黄金山三小</w:t>
            </w:r>
            <w:r>
              <w:rPr>
                <w:rFonts w:hint="eastAsia" w:ascii="仿宋_GB2312" w:hAnsi="仿宋_GB2312" w:eastAsia="仿宋_GB2312" w:cs="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金山村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 w:hAnsi="仿宋" w:eastAsia="仿宋"/>
                <w:color w:val="auto"/>
                <w:sz w:val="24"/>
              </w:rPr>
              <w:t>黄金山三小</w:t>
            </w:r>
            <w:r>
              <w:rPr>
                <w:rFonts w:hint="eastAsia" w:ascii="仿宋_GB2312" w:hAnsi="仿宋_GB2312" w:eastAsia="仿宋_GB2312" w:cs="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钟山村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钟山小学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金山社区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钟山小学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鹏程村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鹏程小学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鹏程社区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鹏程小学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张冲村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鹏程小学、       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王太村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路东村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王太社区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宝山村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273" w:type="dxa"/>
            <w:vMerge w:val="continue"/>
            <w:tcBorders>
              <w:bottom w:val="single" w:color="auto" w:sz="4" w:space="0"/>
            </w:tcBorders>
          </w:tcPr>
          <w:p>
            <w:pPr>
              <w:tabs>
                <w:tab w:val="left" w:pos="840"/>
              </w:tabs>
              <w:spacing w:line="420" w:lineRule="exact"/>
              <w:jc w:val="center"/>
              <w:rPr>
                <w:rFonts w:hint="eastAsia" w:ascii="仿宋_GB2312" w:hAnsi="仿宋_GB2312" w:eastAsia="仿宋_GB2312" w:cs="仿宋_GB2312"/>
                <w:sz w:val="24"/>
              </w:rPr>
            </w:pPr>
          </w:p>
        </w:tc>
        <w:tc>
          <w:tcPr>
            <w:tcW w:w="2464" w:type="dxa"/>
            <w:tcBorders>
              <w:bottom w:val="single" w:color="auto" w:sz="4" w:space="0"/>
            </w:tcBorders>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新农村</w:t>
            </w:r>
          </w:p>
        </w:tc>
        <w:tc>
          <w:tcPr>
            <w:tcW w:w="1401" w:type="dxa"/>
            <w:tcBorders>
              <w:bottom w:val="single" w:color="auto" w:sz="4" w:space="0"/>
            </w:tcBorders>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tcBorders>
              <w:bottom w:val="single" w:color="auto" w:sz="4" w:space="0"/>
            </w:tcBorders>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tcBorders>
              <w:bottom w:val="single" w:color="auto" w:sz="4" w:space="0"/>
            </w:tcBorders>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新农小学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273" w:type="dxa"/>
            <w:vMerge w:val="restart"/>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太子镇</w:t>
            </w: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塘埠村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洪桥小学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刘政村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洪桥小学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洪桥村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洪桥小学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世英村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洪桥小学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世英村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世英教学点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restart"/>
          </w:tcPr>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p>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太子镇</w:t>
            </w:r>
          </w:p>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德芙村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官路村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jc w:val="center"/>
              <w:rPr>
                <w:rFonts w:hint="eastAsia" w:ascii="仿宋" w:hAnsi="仿宋" w:eastAsia="仿宋" w:cstheme="minorBidi"/>
                <w:kern w:val="2"/>
                <w:sz w:val="24"/>
                <w:szCs w:val="24"/>
                <w:lang w:val="en-US" w:eastAsia="zh-CN" w:bidi="ar-SA"/>
              </w:rPr>
            </w:pPr>
            <w:r>
              <w:rPr>
                <w:rFonts w:hint="eastAsia" w:ascii="仿宋" w:hAnsi="仿宋" w:eastAsia="仿宋"/>
                <w:sz w:val="24"/>
              </w:rPr>
              <w:t>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益昌村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jc w:val="center"/>
              <w:rPr>
                <w:rFonts w:hint="eastAsia" w:ascii="仿宋" w:hAnsi="仿宋" w:eastAsia="仿宋" w:cstheme="minorBidi"/>
                <w:kern w:val="2"/>
                <w:sz w:val="24"/>
                <w:szCs w:val="24"/>
                <w:lang w:val="en-US" w:eastAsia="zh-CN" w:bidi="ar-SA"/>
              </w:rPr>
            </w:pPr>
            <w:r>
              <w:rPr>
                <w:rFonts w:hint="eastAsia" w:ascii="仿宋" w:hAnsi="仿宋" w:eastAsia="仿宋"/>
                <w:sz w:val="24"/>
              </w:rPr>
              <w:t>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官山村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jc w:val="center"/>
              <w:rPr>
                <w:rFonts w:hint="eastAsia" w:ascii="仿宋" w:hAnsi="仿宋" w:eastAsia="仿宋" w:cstheme="minorBidi"/>
                <w:kern w:val="2"/>
                <w:sz w:val="24"/>
                <w:szCs w:val="24"/>
                <w:lang w:val="en-US" w:eastAsia="zh-CN" w:bidi="ar-SA"/>
              </w:rPr>
            </w:pPr>
            <w:r>
              <w:rPr>
                <w:rFonts w:hint="eastAsia" w:ascii="仿宋" w:hAnsi="仿宋" w:eastAsia="仿宋"/>
                <w:sz w:val="24"/>
              </w:rPr>
              <w:t>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碧湖村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四门村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茂立小学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上庄村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茂立小学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李姓村</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本辖区</w:t>
            </w:r>
          </w:p>
        </w:tc>
        <w:tc>
          <w:tcPr>
            <w:tcW w:w="2372"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李姓小学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太子居委会</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本辖区</w:t>
            </w:r>
          </w:p>
        </w:tc>
        <w:tc>
          <w:tcPr>
            <w:tcW w:w="2372"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李姓小学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太子居委会</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本辖区</w:t>
            </w:r>
          </w:p>
        </w:tc>
        <w:tc>
          <w:tcPr>
            <w:tcW w:w="2372"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太子中心小学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屋李村</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本辖区</w:t>
            </w:r>
          </w:p>
        </w:tc>
        <w:tc>
          <w:tcPr>
            <w:tcW w:w="2372" w:type="dxa"/>
            <w:vAlign w:val="center"/>
          </w:tcPr>
          <w:p>
            <w:pPr>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太子中心小学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太子镇区有房产居民</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本辖区</w:t>
            </w:r>
          </w:p>
        </w:tc>
        <w:tc>
          <w:tcPr>
            <w:tcW w:w="2372" w:type="dxa"/>
            <w:vAlign w:val="center"/>
          </w:tcPr>
          <w:p>
            <w:pPr>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太子中心小学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舒垅村</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本辖区</w:t>
            </w:r>
          </w:p>
        </w:tc>
        <w:tc>
          <w:tcPr>
            <w:tcW w:w="2372" w:type="dxa"/>
            <w:vAlign w:val="center"/>
          </w:tcPr>
          <w:p>
            <w:pPr>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太子中心小学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山海村（老山口村）</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本辖区</w:t>
            </w:r>
          </w:p>
        </w:tc>
        <w:tc>
          <w:tcPr>
            <w:tcW w:w="2372" w:type="dxa"/>
            <w:vAlign w:val="center"/>
          </w:tcPr>
          <w:p>
            <w:pPr>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太子中心小学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山海村（老费海村）</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本辖区</w:t>
            </w:r>
          </w:p>
        </w:tc>
        <w:tc>
          <w:tcPr>
            <w:tcW w:w="2372" w:type="dxa"/>
            <w:vAlign w:val="center"/>
          </w:tcPr>
          <w:p>
            <w:pPr>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向晚小学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highlight w:val="none"/>
              </w:rPr>
              <w:t>龙庄村</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highlight w:val="none"/>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highlight w:val="none"/>
              </w:rPr>
              <w:t>本辖区</w:t>
            </w:r>
          </w:p>
        </w:tc>
        <w:tc>
          <w:tcPr>
            <w:tcW w:w="2372" w:type="dxa"/>
            <w:vAlign w:val="center"/>
          </w:tcPr>
          <w:p>
            <w:pPr>
              <w:jc w:val="center"/>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highlight w:val="none"/>
              </w:rPr>
              <w:t>太子</w:t>
            </w:r>
            <w:r>
              <w:rPr>
                <w:rFonts w:hint="eastAsia" w:ascii="仿宋" w:hAnsi="仿宋" w:eastAsia="仿宋"/>
                <w:color w:val="auto"/>
                <w:sz w:val="24"/>
                <w:highlight w:val="none"/>
                <w:lang w:val="en-US" w:eastAsia="zh-CN"/>
              </w:rPr>
              <w:t>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highlight w:val="none"/>
              </w:rPr>
              <w:t>港</w:t>
            </w:r>
            <w:r>
              <w:rPr>
                <w:rFonts w:hint="eastAsia" w:ascii="仿宋" w:hAnsi="仿宋" w:eastAsia="仿宋"/>
                <w:color w:val="auto"/>
                <w:sz w:val="24"/>
                <w:highlight w:val="none"/>
                <w:lang w:val="en-US" w:eastAsia="zh-CN"/>
              </w:rPr>
              <w:t>泉</w:t>
            </w:r>
            <w:r>
              <w:rPr>
                <w:rFonts w:hint="eastAsia" w:ascii="仿宋" w:hAnsi="仿宋" w:eastAsia="仿宋"/>
                <w:color w:val="auto"/>
                <w:sz w:val="24"/>
                <w:highlight w:val="none"/>
              </w:rPr>
              <w:t>村</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highlight w:val="none"/>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highlight w:val="none"/>
              </w:rPr>
              <w:t>本辖区</w:t>
            </w:r>
          </w:p>
        </w:tc>
        <w:tc>
          <w:tcPr>
            <w:tcW w:w="2372" w:type="dxa"/>
            <w:vAlign w:val="center"/>
          </w:tcPr>
          <w:p>
            <w:pPr>
              <w:tabs>
                <w:tab w:val="left" w:pos="840"/>
              </w:tabs>
              <w:spacing w:line="420" w:lineRule="exact"/>
              <w:jc w:val="center"/>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olor w:val="auto"/>
                <w:sz w:val="24"/>
                <w:highlight w:val="none"/>
              </w:rPr>
              <w:t>向前小学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朋畈村</w:t>
            </w:r>
          </w:p>
        </w:tc>
        <w:tc>
          <w:tcPr>
            <w:tcW w:w="1401"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地理片区</w:t>
            </w:r>
          </w:p>
        </w:tc>
        <w:tc>
          <w:tcPr>
            <w:tcW w:w="1210"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本辖区</w:t>
            </w:r>
          </w:p>
        </w:tc>
        <w:tc>
          <w:tcPr>
            <w:tcW w:w="2372" w:type="dxa"/>
            <w:vAlign w:val="center"/>
          </w:tcPr>
          <w:p>
            <w:pPr>
              <w:tabs>
                <w:tab w:val="left" w:pos="840"/>
              </w:tabs>
              <w:spacing w:line="420" w:lineRule="exact"/>
              <w:jc w:val="center"/>
              <w:rPr>
                <w:rFonts w:hint="eastAsia" w:ascii="仿宋" w:hAnsi="仿宋" w:eastAsia="仿宋" w:cstheme="minorBidi"/>
                <w:color w:val="auto"/>
                <w:kern w:val="2"/>
                <w:sz w:val="24"/>
                <w:szCs w:val="24"/>
                <w:lang w:val="en-US" w:eastAsia="zh-CN" w:bidi="ar-SA"/>
              </w:rPr>
            </w:pPr>
            <w:r>
              <w:rPr>
                <w:rFonts w:hint="eastAsia" w:ascii="仿宋" w:hAnsi="仿宋" w:eastAsia="仿宋"/>
                <w:color w:val="auto"/>
                <w:sz w:val="24"/>
              </w:rPr>
              <w:t>向前小学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张畈村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向前小学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张畈村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张畈教学点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樟铺村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樟树小学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双堍村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向晚小学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筠岭村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筠合村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双港村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半山董村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陈堡村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老屋村</w:t>
            </w:r>
          </w:p>
        </w:tc>
        <w:tc>
          <w:tcPr>
            <w:tcW w:w="1401"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地理片区</w:t>
            </w:r>
          </w:p>
        </w:tc>
        <w:tc>
          <w:tcPr>
            <w:tcW w:w="1210"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本辖区</w:t>
            </w:r>
          </w:p>
        </w:tc>
        <w:tc>
          <w:tcPr>
            <w:tcW w:w="2372" w:type="dxa"/>
            <w:vAlign w:val="center"/>
          </w:tcPr>
          <w:p>
            <w:pPr>
              <w:tabs>
                <w:tab w:val="left" w:pos="840"/>
              </w:tabs>
              <w:spacing w:line="420" w:lineRule="exact"/>
              <w:jc w:val="center"/>
              <w:rPr>
                <w:rFonts w:hint="eastAsia" w:ascii="仿宋" w:hAnsi="仿宋" w:eastAsia="仿宋" w:cstheme="minorBidi"/>
                <w:kern w:val="2"/>
                <w:sz w:val="24"/>
                <w:szCs w:val="24"/>
                <w:lang w:val="en-US" w:eastAsia="zh-CN" w:bidi="ar-SA"/>
              </w:rPr>
            </w:pPr>
            <w:r>
              <w:rPr>
                <w:rFonts w:hint="eastAsia" w:ascii="仿宋" w:hAnsi="仿宋" w:eastAsia="仿宋"/>
                <w:sz w:val="24"/>
              </w:rPr>
              <w:t>王成教学点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restar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大王镇</w:t>
            </w: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大港村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大港初小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子向村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大港初小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restart"/>
          </w:tcPr>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p>
          <w:p>
            <w:pPr>
              <w:rPr>
                <w:rFonts w:hint="eastAsia" w:ascii="仿宋_GB2312" w:hAnsi="仿宋_GB2312" w:eastAsia="仿宋_GB2312" w:cs="仿宋_GB2312"/>
                <w:sz w:val="24"/>
              </w:rPr>
            </w:pP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大王镇</w:t>
            </w:r>
          </w:p>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金寨村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金寨小学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八祥村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八祥初小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珠龙村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八祥初小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巷口村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巷口初小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下海村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中庄小学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中庄村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中庄小学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集会村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集会教学点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集会村10组</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巷口初小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下垅村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下垅教学点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vAlign w:val="center"/>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贵湾村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贵湾教学点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金湖村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中庄小学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莲花村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莲花初小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下堰村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下堰初小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vAlign w:val="center"/>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上堰村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上堰初小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港西村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李清小学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vAlign w:val="center"/>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港东村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李清小学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南山村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南山初小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下刘村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下刘小学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坎下村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坎下初小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下刘村上汪组</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大王中心小学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柯畈村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柯畈教学点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下街村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大王中心小学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枫树村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农场教学点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姜祥村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大王中心小学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上街村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大王中心小学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王崇村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王崇教学点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港沟村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港沟教学点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陈宝村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港沟教学点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长林村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长林小学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江龙村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江龙教学点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继武村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继武教学点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3" w:type="dxa"/>
            <w:vMerge w:val="continue"/>
          </w:tcPr>
          <w:p>
            <w:pPr>
              <w:jc w:val="center"/>
              <w:rPr>
                <w:rFonts w:hint="eastAsia" w:ascii="仿宋_GB2312" w:hAnsi="仿宋_GB2312" w:eastAsia="仿宋_GB2312" w:cs="仿宋_GB2312"/>
                <w:sz w:val="24"/>
              </w:rPr>
            </w:pPr>
          </w:p>
        </w:tc>
        <w:tc>
          <w:tcPr>
            <w:tcW w:w="246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刘寿村</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长林小学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restart"/>
          </w:tcPr>
          <w:p>
            <w:pPr>
              <w:tabs>
                <w:tab w:val="left" w:pos="840"/>
              </w:tabs>
              <w:spacing w:line="420" w:lineRule="exact"/>
              <w:jc w:val="center"/>
              <w:rPr>
                <w:rFonts w:hint="eastAsia" w:ascii="仿宋_GB2312" w:hAnsi="仿宋_GB2312" w:eastAsia="仿宋_GB2312" w:cs="仿宋_GB2312"/>
                <w:sz w:val="24"/>
                <w:lang w:eastAsia="zh-CN"/>
              </w:rPr>
            </w:pPr>
          </w:p>
          <w:p>
            <w:pPr>
              <w:tabs>
                <w:tab w:val="left" w:pos="840"/>
              </w:tabs>
              <w:spacing w:line="420" w:lineRule="exact"/>
              <w:jc w:val="center"/>
              <w:rPr>
                <w:rFonts w:hint="eastAsia" w:ascii="仿宋_GB2312" w:hAnsi="仿宋_GB2312" w:eastAsia="仿宋_GB2312" w:cs="仿宋_GB2312"/>
                <w:sz w:val="24"/>
                <w:lang w:eastAsia="zh-CN"/>
              </w:rPr>
            </w:pPr>
          </w:p>
          <w:p>
            <w:pPr>
              <w:tabs>
                <w:tab w:val="left" w:pos="840"/>
              </w:tabs>
              <w:spacing w:line="420" w:lineRule="exact"/>
              <w:jc w:val="center"/>
              <w:rPr>
                <w:rFonts w:hint="eastAsia" w:ascii="仿宋_GB2312" w:hAnsi="仿宋_GB2312" w:eastAsia="仿宋_GB2312" w:cs="仿宋_GB2312"/>
                <w:sz w:val="24"/>
                <w:lang w:eastAsia="zh-CN"/>
              </w:rPr>
            </w:pPr>
          </w:p>
          <w:p>
            <w:pPr>
              <w:tabs>
                <w:tab w:val="left" w:pos="840"/>
              </w:tabs>
              <w:spacing w:line="420" w:lineRule="exact"/>
              <w:jc w:val="center"/>
              <w:rPr>
                <w:rFonts w:hint="eastAsia" w:ascii="仿宋_GB2312" w:hAnsi="仿宋_GB2312" w:eastAsia="仿宋_GB2312" w:cs="仿宋_GB2312"/>
                <w:sz w:val="24"/>
                <w:lang w:eastAsia="zh-CN"/>
              </w:rPr>
            </w:pPr>
          </w:p>
          <w:p>
            <w:pPr>
              <w:tabs>
                <w:tab w:val="left" w:pos="840"/>
              </w:tabs>
              <w:spacing w:line="420" w:lineRule="exact"/>
              <w:jc w:val="center"/>
              <w:rPr>
                <w:rFonts w:hint="eastAsia" w:ascii="仿宋_GB2312" w:hAnsi="仿宋_GB2312" w:eastAsia="仿宋_GB2312" w:cs="仿宋_GB2312"/>
                <w:sz w:val="24"/>
                <w:lang w:eastAsia="zh-CN"/>
              </w:rPr>
            </w:pPr>
          </w:p>
          <w:p>
            <w:pPr>
              <w:tabs>
                <w:tab w:val="left" w:pos="840"/>
              </w:tabs>
              <w:spacing w:line="420" w:lineRule="exact"/>
              <w:jc w:val="center"/>
              <w:rPr>
                <w:rFonts w:hint="eastAsia" w:ascii="仿宋_GB2312" w:hAnsi="仿宋_GB2312" w:eastAsia="仿宋_GB2312" w:cs="仿宋_GB2312"/>
                <w:sz w:val="24"/>
                <w:lang w:eastAsia="zh-CN"/>
              </w:rPr>
            </w:pPr>
          </w:p>
          <w:p>
            <w:pPr>
              <w:tabs>
                <w:tab w:val="left" w:pos="840"/>
              </w:tabs>
              <w:spacing w:line="420" w:lineRule="exact"/>
              <w:jc w:val="center"/>
              <w:rPr>
                <w:rFonts w:hint="eastAsia" w:ascii="仿宋_GB2312" w:hAnsi="仿宋_GB2312" w:eastAsia="仿宋_GB2312" w:cs="仿宋_GB2312"/>
                <w:sz w:val="24"/>
                <w:lang w:eastAsia="zh-CN"/>
              </w:rPr>
            </w:pPr>
          </w:p>
          <w:p>
            <w:pPr>
              <w:tabs>
                <w:tab w:val="left" w:pos="840"/>
              </w:tabs>
              <w:spacing w:line="4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铁山街道</w:t>
            </w:r>
          </w:p>
        </w:tc>
        <w:tc>
          <w:tcPr>
            <w:tcW w:w="2464"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冶矿路社区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铁山三小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胜利路社区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铁山三小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曹家林社区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铁山三小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盛洪卿社区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铁山三小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九龙洞社区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建设路社区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矿山路社区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highlight w:val="red"/>
                <w:lang w:eastAsia="zh-CN"/>
              </w:rPr>
            </w:pPr>
            <w:r>
              <w:rPr>
                <w:rFonts w:hint="eastAsia" w:ascii="仿宋_GB2312" w:hAnsi="仿宋_GB2312" w:eastAsia="仿宋_GB2312" w:cs="仿宋_GB2312"/>
                <w:sz w:val="24"/>
                <w:highlight w:val="none"/>
                <w:lang w:eastAsia="zh-CN"/>
              </w:rPr>
              <w:t>友爱街社区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highlight w:val="red"/>
              </w:rPr>
            </w:pPr>
            <w:r>
              <w:rPr>
                <w:rFonts w:hint="eastAsia" w:ascii="仿宋_GB2312" w:hAnsi="仿宋_GB2312" w:eastAsia="仿宋_GB2312" w:cs="仿宋_GB2312"/>
                <w:sz w:val="24"/>
                <w:highlight w:val="none"/>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highlight w:val="red"/>
              </w:rPr>
            </w:pPr>
            <w:r>
              <w:rPr>
                <w:rFonts w:hint="eastAsia" w:ascii="仿宋_GB2312" w:hAnsi="仿宋_GB2312" w:eastAsia="仿宋_GB2312" w:cs="仿宋_GB2312"/>
                <w:sz w:val="24"/>
                <w:highlight w:val="none"/>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eastAsia="zh-CN"/>
              </w:rPr>
              <w:t>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新村社区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eastAsia="zh-CN"/>
              </w:rPr>
              <w:t>铜鼓地社区</w:t>
            </w:r>
          </w:p>
        </w:tc>
        <w:tc>
          <w:tcPr>
            <w:tcW w:w="1401" w:type="dxa"/>
            <w:vAlign w:val="center"/>
          </w:tcPr>
          <w:p>
            <w:pPr>
              <w:tabs>
                <w:tab w:val="left" w:pos="840"/>
              </w:tabs>
              <w:spacing w:line="420" w:lineRule="exact"/>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eastAsia="zh-CN"/>
              </w:rPr>
              <w:t>钢山学校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龙衢湾</w:t>
            </w:r>
            <w:r>
              <w:rPr>
                <w:rFonts w:hint="eastAsia" w:ascii="仿宋_GB2312" w:hAnsi="仿宋_GB2312" w:eastAsia="仿宋_GB2312" w:cs="仿宋_GB2312"/>
                <w:sz w:val="24"/>
                <w:szCs w:val="24"/>
                <w:lang w:eastAsia="zh-CN"/>
              </w:rPr>
              <w:t>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钢山学校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熊家境社区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钢山学校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三岔路社区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三岔路小学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车站小区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三岔路小学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3" w:type="dxa"/>
            <w:vMerge w:val="continue"/>
          </w:tcPr>
          <w:p>
            <w:pPr>
              <w:tabs>
                <w:tab w:val="left" w:pos="840"/>
              </w:tabs>
              <w:spacing w:line="420" w:lineRule="exact"/>
              <w:jc w:val="center"/>
              <w:rPr>
                <w:rFonts w:hint="eastAsia" w:ascii="仿宋_GB2312" w:hAnsi="仿宋_GB2312" w:eastAsia="仿宋_GB2312" w:cs="仿宋_GB2312"/>
                <w:sz w:val="24"/>
              </w:rPr>
            </w:pPr>
          </w:p>
        </w:tc>
        <w:tc>
          <w:tcPr>
            <w:tcW w:w="2464"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木栏社区</w:t>
            </w:r>
          </w:p>
        </w:tc>
        <w:tc>
          <w:tcPr>
            <w:tcW w:w="1401"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地理片区</w:t>
            </w:r>
          </w:p>
        </w:tc>
        <w:tc>
          <w:tcPr>
            <w:tcW w:w="1210"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本辖区</w:t>
            </w:r>
          </w:p>
        </w:tc>
        <w:tc>
          <w:tcPr>
            <w:tcW w:w="2372"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木栏学校</w:t>
            </w:r>
          </w:p>
        </w:tc>
      </w:tr>
    </w:tbl>
    <w:p>
      <w:pPr>
        <w:spacing w:line="560" w:lineRule="exact"/>
        <w:ind w:left="723" w:hanging="723" w:hangingChars="300"/>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lang w:eastAsia="zh-CN"/>
        </w:rPr>
        <w:t>备注：三岔路社区、车站小区、木栏社区学生由三岔路小学、木栏学校统一登记，铁山小学接收入学；钢山学校招生不受区域限制，可招收其他片区学生。</w:t>
      </w:r>
    </w:p>
    <w:p>
      <w:pPr>
        <w:spacing w:line="560" w:lineRule="exact"/>
        <w:rPr>
          <w:rFonts w:hint="eastAsia" w:ascii="仿宋_GB2312" w:hAnsi="仿宋_GB2312" w:eastAsia="仿宋_GB2312" w:cs="仿宋_GB2312"/>
          <w:b/>
          <w:sz w:val="30"/>
          <w:szCs w:val="30"/>
        </w:rPr>
      </w:pP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hint="eastAsia" w:ascii="宋体" w:hAnsi="宋体"/>
          <w:b/>
          <w:sz w:val="30"/>
          <w:szCs w:val="30"/>
        </w:rPr>
      </w:pPr>
    </w:p>
    <w:p>
      <w:pPr>
        <w:spacing w:line="560" w:lineRule="exact"/>
        <w:rPr>
          <w:rFonts w:hint="eastAsia" w:ascii="楷体_GB2312" w:hAnsi="楷体_GB2312" w:eastAsia="楷体_GB2312" w:cs="楷体_GB2312"/>
          <w:b/>
          <w:sz w:val="30"/>
          <w:szCs w:val="30"/>
        </w:rPr>
      </w:pPr>
    </w:p>
    <w:p>
      <w:pPr>
        <w:spacing w:line="560" w:lineRule="exact"/>
        <w:rPr>
          <w:rFonts w:hint="eastAsia" w:ascii="楷体_GB2312" w:hAnsi="楷体_GB2312" w:eastAsia="楷体_GB2312" w:cs="楷体_GB2312"/>
          <w:b/>
          <w:sz w:val="30"/>
          <w:szCs w:val="30"/>
        </w:rPr>
      </w:pPr>
    </w:p>
    <w:p>
      <w:pPr>
        <w:spacing w:line="560" w:lineRule="exact"/>
        <w:rPr>
          <w:rFonts w:hint="eastAsia" w:ascii="楷体_GB2312" w:hAnsi="楷体_GB2312" w:eastAsia="楷体_GB2312" w:cs="楷体_GB2312"/>
          <w:b/>
          <w:sz w:val="30"/>
          <w:szCs w:val="30"/>
        </w:rPr>
      </w:pPr>
    </w:p>
    <w:p>
      <w:pPr>
        <w:spacing w:line="560" w:lineRule="exact"/>
        <w:rPr>
          <w:rFonts w:hint="eastAsia" w:ascii="楷体_GB2312" w:hAnsi="楷体_GB2312" w:eastAsia="楷体_GB2312" w:cs="楷体_GB2312"/>
          <w:b/>
          <w:sz w:val="30"/>
          <w:szCs w:val="30"/>
        </w:rPr>
      </w:pPr>
    </w:p>
    <w:p>
      <w:pPr>
        <w:spacing w:line="560" w:lineRule="exact"/>
        <w:rPr>
          <w:rFonts w:hint="eastAsia" w:ascii="楷体_GB2312" w:hAnsi="楷体_GB2312" w:eastAsia="楷体_GB2312" w:cs="楷体_GB2312"/>
          <w:b/>
          <w:sz w:val="30"/>
          <w:szCs w:val="30"/>
        </w:rPr>
      </w:pPr>
    </w:p>
    <w:p>
      <w:pPr>
        <w:spacing w:line="560" w:lineRule="exact"/>
        <w:rPr>
          <w:rFonts w:hint="eastAsia" w:ascii="楷体_GB2312" w:hAnsi="楷体_GB2312" w:eastAsia="楷体_GB2312" w:cs="楷体_GB2312"/>
          <w:b/>
          <w:sz w:val="30"/>
          <w:szCs w:val="30"/>
        </w:rPr>
      </w:pPr>
    </w:p>
    <w:p>
      <w:pPr>
        <w:spacing w:line="560" w:lineRule="exact"/>
        <w:rPr>
          <w:rFonts w:hint="eastAsia" w:ascii="楷体_GB2312" w:hAnsi="楷体_GB2312" w:eastAsia="楷体_GB2312" w:cs="楷体_GB2312"/>
          <w:b/>
          <w:sz w:val="30"/>
          <w:szCs w:val="30"/>
        </w:rPr>
      </w:pPr>
    </w:p>
    <w:p>
      <w:pPr>
        <w:spacing w:line="560" w:lineRule="exact"/>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二、开发区小升初学</w:t>
      </w:r>
      <w:r>
        <w:rPr>
          <w:rFonts w:hint="eastAsia" w:ascii="楷体_GB2312" w:hAnsi="楷体_GB2312" w:eastAsia="楷体_GB2312" w:cs="楷体_GB2312"/>
          <w:b/>
          <w:sz w:val="30"/>
          <w:szCs w:val="30"/>
          <w:lang w:eastAsia="zh-CN"/>
        </w:rPr>
        <w:t>区</w:t>
      </w:r>
      <w:r>
        <w:rPr>
          <w:rFonts w:hint="eastAsia" w:ascii="楷体_GB2312" w:hAnsi="楷体_GB2312" w:eastAsia="楷体_GB2312" w:cs="楷体_GB2312"/>
          <w:b/>
          <w:sz w:val="30"/>
          <w:szCs w:val="30"/>
        </w:rPr>
        <w:t>划分安排表</w:t>
      </w:r>
    </w:p>
    <w:tbl>
      <w:tblPr>
        <w:tblStyle w:val="4"/>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1"/>
        <w:gridCol w:w="5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restart"/>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河口中学学区</w:t>
            </w: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龙山小学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龙泉小学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restart"/>
            <w:vAlign w:val="center"/>
          </w:tcPr>
          <w:p>
            <w:pPr>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汪仁中学学区</w:t>
            </w: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color w:val="C00000"/>
                <w:sz w:val="24"/>
              </w:rPr>
              <w:t>汪仁镇小学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vAlign w:val="center"/>
          </w:tcPr>
          <w:p>
            <w:pPr>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刘铺小学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vAlign w:val="center"/>
          </w:tcPr>
          <w:p>
            <w:pPr>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vAlign w:val="center"/>
          </w:tcPr>
          <w:p>
            <w:pPr>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王叶小学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vAlign w:val="center"/>
          </w:tcPr>
          <w:p>
            <w:pPr>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沿湖小学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章畈小学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竹林湾小学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庆洪小学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restart"/>
            <w:vAlign w:val="center"/>
          </w:tcPr>
          <w:p>
            <w:pPr>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四棵中学学区</w:t>
            </w: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四棵小学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大路小学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黄金山三小（奥山新城、圣水泉村）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restart"/>
            <w:vAlign w:val="center"/>
          </w:tcPr>
          <w:p>
            <w:pPr>
              <w:jc w:val="center"/>
              <w:rPr>
                <w:rFonts w:hint="eastAsia" w:eastAsiaTheme="minorEastAsia"/>
                <w:lang w:eastAsia="zh-CN"/>
              </w:rPr>
            </w:pPr>
            <w:r>
              <w:rPr>
                <w:rFonts w:hint="eastAsia"/>
              </w:rPr>
              <w:t>鹏程中学学区</w:t>
            </w: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鹏程小学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tcBorders/>
            <w:vAlign w:val="center"/>
          </w:tcPr>
          <w:p>
            <w:pPr>
              <w:rPr>
                <w:rFonts w:hint="eastAsia"/>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钟山小学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tcBorders/>
            <w:vAlign w:val="center"/>
          </w:tcPr>
          <w:p>
            <w:pPr>
              <w:rPr>
                <w:rFonts w:hint="eastAsia"/>
              </w:rPr>
            </w:pPr>
          </w:p>
        </w:tc>
        <w:tc>
          <w:tcPr>
            <w:tcW w:w="5689" w:type="dxa"/>
            <w:tcBorders>
              <w:bottom w:val="single" w:color="auto" w:sz="4" w:space="0"/>
            </w:tcBorders>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黄金山一小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tcBorders/>
            <w:vAlign w:val="center"/>
          </w:tcPr>
          <w:p>
            <w:pPr>
              <w:rPr>
                <w:rFonts w:hint="eastAsia"/>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新农小学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tcBorders/>
            <w:vAlign w:val="center"/>
          </w:tcPr>
          <w:p>
            <w:pPr>
              <w:rPr>
                <w:rFonts w:hint="eastAsia"/>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明港小学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tcBorders/>
            <w:vAlign w:val="center"/>
          </w:tcPr>
          <w:p>
            <w:pPr>
              <w:tabs>
                <w:tab w:val="left" w:pos="840"/>
              </w:tabs>
              <w:spacing w:line="420" w:lineRule="exact"/>
              <w:jc w:val="center"/>
              <w:rPr>
                <w:rFonts w:hint="eastAsia" w:eastAsiaTheme="minorEastAsia"/>
                <w:lang w:eastAsia="zh-CN"/>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黄金山三小（金山村）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trPr>
        <w:tc>
          <w:tcPr>
            <w:tcW w:w="3071" w:type="dxa"/>
            <w:vMerge w:val="restart"/>
            <w:vAlign w:val="center"/>
          </w:tcPr>
          <w:p>
            <w:pPr>
              <w:spacing w:line="420" w:lineRule="exact"/>
              <w:jc w:val="center"/>
              <w:rPr>
                <w:rFonts w:hint="eastAsia" w:ascii="仿宋_GB2312" w:hAnsi="仿宋_GB2312" w:eastAsia="仿宋_GB2312" w:cs="仿宋_GB2312"/>
                <w:sz w:val="24"/>
              </w:rPr>
            </w:pPr>
          </w:p>
          <w:p>
            <w:pPr>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大王中学学区</w:t>
            </w:r>
          </w:p>
          <w:p>
            <w:pPr>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大王中心小学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exac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长林小学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exac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下刘小学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exac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李清小学（南山村、港东村学生）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restart"/>
            <w:vAlign w:val="center"/>
          </w:tcPr>
          <w:p>
            <w:pPr>
              <w:spacing w:line="420" w:lineRule="exact"/>
              <w:jc w:val="center"/>
              <w:rPr>
                <w:rFonts w:hint="eastAsia" w:ascii="仿宋_GB2312" w:hAnsi="仿宋_GB2312" w:eastAsia="仿宋_GB2312" w:cs="仿宋_GB2312"/>
                <w:sz w:val="24"/>
              </w:rPr>
            </w:pPr>
          </w:p>
          <w:p>
            <w:pPr>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中庄中学学区</w:t>
            </w:r>
          </w:p>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ind w:firstLine="1200" w:firstLineChars="500"/>
              <w:jc w:val="both"/>
              <w:rPr>
                <w:rFonts w:hint="eastAsia" w:ascii="仿宋_GB2312" w:hAnsi="仿宋_GB2312" w:eastAsia="仿宋_GB2312" w:cs="仿宋_GB2312"/>
                <w:sz w:val="24"/>
              </w:rPr>
            </w:pPr>
            <w:r>
              <w:rPr>
                <w:rFonts w:hint="eastAsia" w:ascii="仿宋_GB2312" w:hAnsi="仿宋_GB2312" w:eastAsia="仿宋_GB2312" w:cs="仿宋_GB2312"/>
                <w:sz w:val="24"/>
              </w:rPr>
              <w:t>李清小学（港西村学生）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中庄小学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071" w:type="dxa"/>
            <w:vMerge w:val="continue"/>
            <w:tcBorders>
              <w:bottom w:val="single" w:color="auto" w:sz="4" w:space="0"/>
            </w:tcBorders>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tcBorders>
              <w:bottom w:val="single" w:color="auto" w:sz="4" w:space="0"/>
            </w:tcBorders>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金寨小学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restart"/>
            <w:vAlign w:val="center"/>
          </w:tcPr>
          <w:p>
            <w:pPr>
              <w:spacing w:line="420" w:lineRule="exact"/>
              <w:jc w:val="center"/>
              <w:rPr>
                <w:rFonts w:hint="eastAsia" w:ascii="仿宋_GB2312" w:hAnsi="仿宋_GB2312" w:eastAsia="仿宋_GB2312" w:cs="仿宋_GB2312"/>
                <w:sz w:val="24"/>
              </w:rPr>
            </w:pPr>
          </w:p>
          <w:p>
            <w:pPr>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太子中学学区</w:t>
            </w:r>
          </w:p>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太子中心小学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樟树小学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茂立小学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向前小学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新建小学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洪桥小学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向晚小学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李姓小学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筠山小学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restart"/>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铁山一中学区</w:t>
            </w:r>
          </w:p>
        </w:tc>
        <w:tc>
          <w:tcPr>
            <w:tcW w:w="5689"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铁山三小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铁山小学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钢山小学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eastAsia="zh-CN"/>
              </w:rPr>
              <w:t>三岔路小学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071" w:type="dxa"/>
            <w:vMerge w:val="continue"/>
            <w:vAlign w:val="center"/>
          </w:tcPr>
          <w:p>
            <w:pPr>
              <w:tabs>
                <w:tab w:val="left" w:pos="840"/>
              </w:tabs>
              <w:spacing w:line="420" w:lineRule="exact"/>
              <w:jc w:val="center"/>
              <w:rPr>
                <w:rFonts w:hint="eastAsia" w:ascii="仿宋_GB2312" w:hAnsi="仿宋_GB2312" w:eastAsia="仿宋_GB2312" w:cs="仿宋_GB2312"/>
                <w:sz w:val="24"/>
              </w:rPr>
            </w:pPr>
          </w:p>
        </w:tc>
        <w:tc>
          <w:tcPr>
            <w:tcW w:w="5689" w:type="dxa"/>
            <w:vAlign w:val="center"/>
          </w:tcPr>
          <w:p>
            <w:pPr>
              <w:tabs>
                <w:tab w:val="left" w:pos="840"/>
              </w:tabs>
              <w:spacing w:line="4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木栏学校</w:t>
            </w:r>
          </w:p>
        </w:tc>
      </w:tr>
    </w:tbl>
    <w:p>
      <w:pPr>
        <w:rPr>
          <w:rFonts w:hint="eastAsia" w:ascii="仿宋_GB2312" w:hAnsi="仿宋_GB2312" w:eastAsia="仿宋_GB2312" w:cs="仿宋_GB2312"/>
        </w:rPr>
      </w:pPr>
    </w:p>
    <w:p/>
    <w:p/>
    <w:p/>
    <w:p/>
    <w:p/>
    <w:p/>
    <w:p/>
    <w:p/>
    <w:p/>
    <w:p/>
    <w:p/>
    <w:p/>
    <w:p/>
    <w:p/>
    <w:p/>
    <w:p/>
    <w:p/>
    <w:p/>
    <w:p/>
    <w:p/>
    <w:p/>
    <w:p>
      <w:pPr>
        <w:sectPr>
          <w:footerReference r:id="rId3" w:type="default"/>
          <w:pgSz w:w="11906" w:h="16838"/>
          <w:pgMar w:top="992" w:right="1701" w:bottom="1134" w:left="1701" w:header="851" w:footer="992" w:gutter="0"/>
          <w:cols w:space="425" w:num="1"/>
          <w:docGrid w:type="lines" w:linePitch="312" w:charSpace="0"/>
        </w:sectPr>
      </w:pPr>
    </w:p>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附件2</w:t>
      </w:r>
    </w:p>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color w:val="000000"/>
          <w:kern w:val="0"/>
          <w:sz w:val="44"/>
          <w:szCs w:val="44"/>
        </w:rPr>
        <w:t>201</w:t>
      </w:r>
      <w:r>
        <w:rPr>
          <w:rFonts w:hint="eastAsia" w:ascii="方正小标宋简体" w:hAnsi="方正小标宋简体" w:eastAsia="方正小标宋简体" w:cs="方正小标宋简体"/>
          <w:b w:val="0"/>
          <w:bCs/>
          <w:color w:val="000000"/>
          <w:kern w:val="0"/>
          <w:sz w:val="44"/>
          <w:szCs w:val="44"/>
          <w:lang w:val="en-US" w:eastAsia="zh-CN"/>
        </w:rPr>
        <w:t>9</w:t>
      </w:r>
      <w:r>
        <w:rPr>
          <w:rFonts w:hint="eastAsia" w:ascii="方正小标宋简体" w:hAnsi="方正小标宋简体" w:eastAsia="方正小标宋简体" w:cs="方正小标宋简体"/>
          <w:b w:val="0"/>
          <w:bCs/>
          <w:color w:val="000000"/>
          <w:kern w:val="0"/>
          <w:sz w:val="44"/>
          <w:szCs w:val="44"/>
        </w:rPr>
        <w:t>年开发区初中学校招生计划及编班情况备案表</w:t>
      </w:r>
    </w:p>
    <w:p>
      <w:pPr>
        <w:rPr>
          <w:rFonts w:hint="eastAsia" w:ascii="仿宋_GB2312" w:hAnsi="仿宋_GB2312" w:eastAsia="仿宋_GB2312" w:cs="仿宋_GB2312"/>
          <w:sz w:val="24"/>
          <w:szCs w:val="24"/>
          <w:lang w:val="en-US" w:eastAsia="zh-CN"/>
        </w:rPr>
      </w:pPr>
      <w:r>
        <w:rPr>
          <w:rFonts w:hint="eastAsia" w:ascii="楷体_GB2312" w:hAnsi="楷体_GB2312" w:eastAsia="楷体_GB2312" w:cs="楷体_GB2312"/>
          <w:sz w:val="24"/>
          <w:szCs w:val="24"/>
        </w:rPr>
        <w:t>说明：</w:t>
      </w:r>
      <w:r>
        <w:rPr>
          <w:rFonts w:hint="eastAsia" w:ascii="楷体_GB2312" w:hAnsi="楷体_GB2312" w:eastAsia="楷体_GB2312" w:cs="楷体_GB2312"/>
          <w:color w:val="000000"/>
          <w:kern w:val="0"/>
          <w:sz w:val="24"/>
          <w:szCs w:val="24"/>
        </w:rPr>
        <w:t>此表9月1日前上交至</w:t>
      </w:r>
      <w:r>
        <w:rPr>
          <w:rFonts w:hint="eastAsia" w:ascii="楷体_GB2312" w:hAnsi="楷体_GB2312" w:eastAsia="楷体_GB2312" w:cs="楷体_GB2312"/>
          <w:color w:val="000000"/>
          <w:kern w:val="0"/>
          <w:sz w:val="24"/>
          <w:szCs w:val="24"/>
          <w:lang w:eastAsia="zh-CN"/>
        </w:rPr>
        <w:t>基教办余胜</w:t>
      </w:r>
      <w:r>
        <w:rPr>
          <w:rFonts w:hint="eastAsia" w:ascii="仿宋_GB2312" w:hAnsi="仿宋_GB2312" w:eastAsia="仿宋_GB2312" w:cs="仿宋_GB2312"/>
          <w:color w:val="000000"/>
          <w:kern w:val="0"/>
          <w:sz w:val="24"/>
          <w:szCs w:val="24"/>
          <w:lang w:val="en-US" w:eastAsia="zh-CN"/>
        </w:rPr>
        <w:t xml:space="preserve">                                              QQ邮箱：38892846@qq.com</w:t>
      </w:r>
    </w:p>
    <w:tbl>
      <w:tblPr>
        <w:tblStyle w:val="4"/>
        <w:tblW w:w="14616" w:type="dxa"/>
        <w:tblInd w:w="0" w:type="dxa"/>
        <w:tblLayout w:type="fixed"/>
        <w:tblCellMar>
          <w:top w:w="15" w:type="dxa"/>
          <w:left w:w="15" w:type="dxa"/>
          <w:bottom w:w="15" w:type="dxa"/>
          <w:right w:w="15" w:type="dxa"/>
        </w:tblCellMar>
      </w:tblPr>
      <w:tblGrid>
        <w:gridCol w:w="720"/>
        <w:gridCol w:w="1422"/>
        <w:gridCol w:w="1668"/>
        <w:gridCol w:w="1450"/>
        <w:gridCol w:w="1418"/>
        <w:gridCol w:w="1559"/>
        <w:gridCol w:w="1559"/>
        <w:gridCol w:w="1559"/>
        <w:gridCol w:w="1560"/>
        <w:gridCol w:w="1701"/>
      </w:tblGrid>
      <w:tr>
        <w:tblPrEx>
          <w:tblCellMar>
            <w:top w:w="15" w:type="dxa"/>
            <w:left w:w="15" w:type="dxa"/>
            <w:bottom w:w="15" w:type="dxa"/>
            <w:right w:w="15" w:type="dxa"/>
          </w:tblCellMar>
        </w:tblPrEx>
        <w:trPr>
          <w:trHeight w:val="28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序号</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学校</w:t>
            </w:r>
          </w:p>
        </w:tc>
        <w:tc>
          <w:tcPr>
            <w:tcW w:w="166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201</w:t>
            </w:r>
            <w:r>
              <w:rPr>
                <w:rFonts w:hint="eastAsia" w:ascii="仿宋_GB2312" w:hAnsi="仿宋_GB2312" w:eastAsia="仿宋_GB2312" w:cs="仿宋_GB2312"/>
                <w:color w:val="000000"/>
                <w:kern w:val="0"/>
                <w:sz w:val="24"/>
                <w:lang w:val="en-US" w:eastAsia="zh-CN"/>
              </w:rPr>
              <w:t>9</w:t>
            </w:r>
            <w:r>
              <w:rPr>
                <w:rFonts w:hint="eastAsia" w:ascii="仿宋_GB2312" w:hAnsi="仿宋_GB2312" w:eastAsia="仿宋_GB2312" w:cs="仿宋_GB2312"/>
                <w:color w:val="000000"/>
                <w:kern w:val="0"/>
                <w:sz w:val="24"/>
              </w:rPr>
              <w:t>年</w:t>
            </w:r>
          </w:p>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招生计划数</w:t>
            </w:r>
          </w:p>
        </w:tc>
        <w:tc>
          <w:tcPr>
            <w:tcW w:w="1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计划</w:t>
            </w:r>
          </w:p>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班级数</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七年级</w:t>
            </w:r>
          </w:p>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highlight w:val="none"/>
              </w:rPr>
              <w:t>学生实数</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七年级</w:t>
            </w:r>
          </w:p>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班级实数</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八年级</w:t>
            </w:r>
          </w:p>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highlight w:val="none"/>
              </w:rPr>
              <w:t>学生实数</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八年级</w:t>
            </w:r>
          </w:p>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班级实数</w:t>
            </w:r>
          </w:p>
        </w:tc>
        <w:tc>
          <w:tcPr>
            <w:tcW w:w="15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九年级</w:t>
            </w:r>
          </w:p>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highlight w:val="none"/>
              </w:rPr>
              <w:t>学生实数</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九年级</w:t>
            </w:r>
          </w:p>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班级实数</w:t>
            </w:r>
          </w:p>
        </w:tc>
      </w:tr>
      <w:tr>
        <w:tblPrEx>
          <w:tblCellMar>
            <w:top w:w="15" w:type="dxa"/>
            <w:left w:w="15" w:type="dxa"/>
            <w:bottom w:w="15" w:type="dxa"/>
            <w:right w:w="15" w:type="dxa"/>
          </w:tblCellMar>
        </w:tblPrEx>
        <w:trPr>
          <w:trHeight w:val="619"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1</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汪仁中学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619"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2</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四棵中学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619"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3</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鹏程中学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624"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4</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河口中学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619"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5</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太子中学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619"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6</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大王中学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619"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7</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中庄中学</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619"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lang w:val="en-US" w:eastAsia="zh-CN"/>
              </w:rPr>
            </w:pPr>
            <w:r>
              <w:rPr>
                <w:rFonts w:hint="eastAsia" w:ascii="仿宋_GB2312" w:hAnsi="仿宋_GB2312" w:eastAsia="仿宋_GB2312" w:cs="仿宋_GB2312"/>
                <w:color w:val="000000"/>
                <w:kern w:val="0"/>
                <w:sz w:val="24"/>
                <w:lang w:val="en-US" w:eastAsia="zh-CN"/>
              </w:rPr>
              <w:t>8</w:t>
            </w:r>
          </w:p>
        </w:tc>
        <w:tc>
          <w:tcPr>
            <w:tcW w:w="14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lang w:eastAsia="zh-CN"/>
              </w:rPr>
            </w:pPr>
            <w:r>
              <w:rPr>
                <w:rFonts w:hint="eastAsia" w:ascii="仿宋_GB2312" w:hAnsi="仿宋_GB2312" w:eastAsia="仿宋_GB2312" w:cs="仿宋_GB2312"/>
                <w:color w:val="000000"/>
                <w:kern w:val="0"/>
                <w:sz w:val="24"/>
                <w:lang w:eastAsia="zh-CN"/>
              </w:rPr>
              <w:t>铁山一中</w:t>
            </w:r>
          </w:p>
        </w:tc>
        <w:tc>
          <w:tcPr>
            <w:tcW w:w="1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bl>
    <w:p>
      <w:pPr>
        <w:jc w:val="left"/>
        <w:rPr>
          <w:rFonts w:hint="eastAsia" w:ascii="仿宋_GB2312" w:hAnsi="仿宋_GB2312" w:eastAsia="仿宋_GB2312" w:cs="仿宋_GB2312"/>
          <w:b/>
          <w:bCs w:val="0"/>
          <w:color w:val="000000"/>
          <w:kern w:val="0"/>
          <w:sz w:val="28"/>
          <w:szCs w:val="28"/>
          <w:lang w:eastAsia="zh-CN"/>
        </w:rPr>
      </w:pPr>
    </w:p>
    <w:p>
      <w:pPr>
        <w:jc w:val="left"/>
        <w:rPr>
          <w:rFonts w:hint="eastAsia" w:ascii="仿宋_GB2312" w:hAnsi="仿宋_GB2312" w:eastAsia="仿宋_GB2312" w:cs="仿宋_GB2312"/>
          <w:b/>
          <w:bCs w:val="0"/>
          <w:color w:val="000000"/>
          <w:kern w:val="0"/>
          <w:sz w:val="28"/>
          <w:szCs w:val="28"/>
          <w:highlight w:val="red"/>
          <w:lang w:val="en-US" w:eastAsia="zh-CN"/>
        </w:rPr>
      </w:pPr>
      <w:r>
        <w:rPr>
          <w:rFonts w:hint="eastAsia" w:ascii="仿宋_GB2312" w:hAnsi="仿宋_GB2312" w:eastAsia="仿宋_GB2312" w:cs="仿宋_GB2312"/>
          <w:b/>
          <w:bCs w:val="0"/>
          <w:color w:val="000000"/>
          <w:kern w:val="0"/>
          <w:sz w:val="28"/>
          <w:szCs w:val="28"/>
          <w:highlight w:val="red"/>
          <w:lang w:eastAsia="zh-CN"/>
        </w:rPr>
        <w:t>附件</w:t>
      </w:r>
      <w:r>
        <w:rPr>
          <w:rFonts w:hint="eastAsia" w:ascii="仿宋_GB2312" w:hAnsi="仿宋_GB2312" w:eastAsia="仿宋_GB2312" w:cs="仿宋_GB2312"/>
          <w:b/>
          <w:bCs w:val="0"/>
          <w:color w:val="000000"/>
          <w:kern w:val="0"/>
          <w:sz w:val="28"/>
          <w:szCs w:val="28"/>
          <w:highlight w:val="red"/>
          <w:lang w:val="en-US" w:eastAsia="zh-CN"/>
        </w:rPr>
        <w:t>3</w:t>
      </w:r>
    </w:p>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color w:val="000000"/>
          <w:kern w:val="0"/>
          <w:sz w:val="44"/>
          <w:szCs w:val="44"/>
        </w:rPr>
        <w:t>20</w:t>
      </w:r>
      <w:r>
        <w:rPr>
          <w:rFonts w:hint="eastAsia" w:ascii="方正小标宋简体" w:hAnsi="方正小标宋简体" w:eastAsia="方正小标宋简体" w:cs="方正小标宋简体"/>
          <w:b w:val="0"/>
          <w:bCs/>
          <w:color w:val="000000"/>
          <w:kern w:val="0"/>
          <w:sz w:val="44"/>
          <w:szCs w:val="44"/>
          <w:lang w:val="en-US" w:eastAsia="zh-CN"/>
        </w:rPr>
        <w:t>20</w:t>
      </w:r>
      <w:r>
        <w:rPr>
          <w:rFonts w:hint="eastAsia" w:ascii="方正小标宋简体" w:hAnsi="方正小标宋简体" w:eastAsia="方正小标宋简体" w:cs="方正小标宋简体"/>
          <w:b w:val="0"/>
          <w:bCs/>
          <w:color w:val="000000"/>
          <w:kern w:val="0"/>
          <w:sz w:val="44"/>
          <w:szCs w:val="44"/>
        </w:rPr>
        <w:t>年开发</w:t>
      </w:r>
      <w:r>
        <w:rPr>
          <w:rFonts w:hint="eastAsia" w:ascii="方正小标宋简体" w:hAnsi="方正小标宋简体" w:eastAsia="方正小标宋简体" w:cs="方正小标宋简体"/>
          <w:b w:val="0"/>
          <w:bCs/>
          <w:color w:val="000000"/>
          <w:kern w:val="0"/>
          <w:sz w:val="44"/>
          <w:szCs w:val="44"/>
          <w:lang w:eastAsia="zh-CN"/>
        </w:rPr>
        <w:t>区</w:t>
      </w:r>
      <w:r>
        <w:rPr>
          <w:rFonts w:hint="eastAsia" w:ascii="仿宋" w:hAnsi="仿宋" w:eastAsia="仿宋" w:cs="仿宋"/>
          <w:b w:val="0"/>
          <w:bCs/>
          <w:color w:val="000000"/>
          <w:kern w:val="0"/>
          <w:sz w:val="44"/>
          <w:szCs w:val="44"/>
        </w:rPr>
        <w:t>·</w:t>
      </w:r>
      <w:r>
        <w:rPr>
          <w:rFonts w:hint="eastAsia" w:ascii="方正小标宋简体" w:hAnsi="方正小标宋简体" w:eastAsia="方正小标宋简体" w:cs="方正小标宋简体"/>
          <w:b w:val="0"/>
          <w:bCs/>
          <w:color w:val="000000"/>
          <w:kern w:val="0"/>
          <w:sz w:val="44"/>
          <w:szCs w:val="44"/>
          <w:lang w:eastAsia="zh-CN"/>
        </w:rPr>
        <w:t>铁山</w:t>
      </w:r>
      <w:r>
        <w:rPr>
          <w:rFonts w:hint="eastAsia" w:ascii="方正小标宋简体" w:hAnsi="方正小标宋简体" w:eastAsia="方正小标宋简体" w:cs="方正小标宋简体"/>
          <w:b w:val="0"/>
          <w:bCs/>
          <w:color w:val="000000"/>
          <w:kern w:val="0"/>
          <w:sz w:val="44"/>
          <w:szCs w:val="44"/>
        </w:rPr>
        <w:t>区中心小学招生计划及编班情况备案表</w:t>
      </w:r>
    </w:p>
    <w:p>
      <w:pPr>
        <w:rPr>
          <w:rFonts w:hint="eastAsia" w:ascii="楷体_GB2312" w:hAnsi="楷体_GB2312" w:eastAsia="楷体_GB2312" w:cs="楷体_GB2312"/>
        </w:rPr>
      </w:pPr>
      <w:r>
        <w:rPr>
          <w:rFonts w:hint="eastAsia" w:ascii="仿宋" w:hAnsi="仿宋" w:eastAsia="仿宋" w:cs="仿宋"/>
          <w:b/>
          <w:color w:val="000000"/>
          <w:kern w:val="0"/>
          <w:sz w:val="24"/>
          <w:szCs w:val="24"/>
        </w:rPr>
        <w:t>说明</w:t>
      </w:r>
      <w:r>
        <w:rPr>
          <w:rFonts w:hint="eastAsia" w:ascii="仿宋" w:hAnsi="仿宋" w:eastAsia="仿宋" w:cs="仿宋"/>
          <w:color w:val="000000"/>
          <w:kern w:val="0"/>
          <w:sz w:val="24"/>
          <w:szCs w:val="24"/>
        </w:rPr>
        <w:t>：</w:t>
      </w:r>
      <w:r>
        <w:rPr>
          <w:rFonts w:hint="eastAsia" w:ascii="楷体_GB2312" w:hAnsi="楷体_GB2312" w:eastAsia="楷体_GB2312" w:cs="楷体_GB2312"/>
          <w:color w:val="000000"/>
          <w:kern w:val="0"/>
          <w:sz w:val="24"/>
          <w:szCs w:val="24"/>
        </w:rPr>
        <w:t>其它小学招生计划及班级控制数由中心学校负责调控，此表9月1日前上交至</w:t>
      </w:r>
      <w:r>
        <w:rPr>
          <w:rFonts w:hint="eastAsia" w:ascii="楷体_GB2312" w:hAnsi="楷体_GB2312" w:eastAsia="楷体_GB2312" w:cs="楷体_GB2312"/>
          <w:color w:val="000000"/>
          <w:kern w:val="0"/>
          <w:sz w:val="24"/>
          <w:szCs w:val="24"/>
          <w:lang w:eastAsia="zh-CN"/>
        </w:rPr>
        <w:t>局基教办余胜</w:t>
      </w:r>
      <w:r>
        <w:rPr>
          <w:rFonts w:hint="eastAsia" w:ascii="楷体_GB2312" w:hAnsi="楷体_GB2312" w:eastAsia="楷体_GB2312" w:cs="楷体_GB2312"/>
          <w:color w:val="000000"/>
          <w:kern w:val="0"/>
          <w:sz w:val="24"/>
          <w:szCs w:val="24"/>
          <w:lang w:val="en-US" w:eastAsia="zh-CN"/>
        </w:rPr>
        <w:t xml:space="preserve">  QQ邮箱：38892846@qq.com</w:t>
      </w:r>
    </w:p>
    <w:tbl>
      <w:tblPr>
        <w:tblStyle w:val="4"/>
        <w:tblW w:w="14604" w:type="dxa"/>
        <w:tblInd w:w="15" w:type="dxa"/>
        <w:tblLayout w:type="fixed"/>
        <w:tblCellMar>
          <w:top w:w="15" w:type="dxa"/>
          <w:left w:w="15" w:type="dxa"/>
          <w:bottom w:w="15" w:type="dxa"/>
          <w:right w:w="15" w:type="dxa"/>
        </w:tblCellMar>
      </w:tblPr>
      <w:tblGrid>
        <w:gridCol w:w="567"/>
        <w:gridCol w:w="1496"/>
        <w:gridCol w:w="1020"/>
        <w:gridCol w:w="834"/>
        <w:gridCol w:w="890"/>
        <w:gridCol w:w="890"/>
        <w:gridCol w:w="1"/>
        <w:gridCol w:w="889"/>
        <w:gridCol w:w="894"/>
        <w:gridCol w:w="886"/>
        <w:gridCol w:w="890"/>
        <w:gridCol w:w="3"/>
        <w:gridCol w:w="887"/>
        <w:gridCol w:w="890"/>
        <w:gridCol w:w="4"/>
        <w:gridCol w:w="886"/>
        <w:gridCol w:w="890"/>
        <w:gridCol w:w="5"/>
        <w:gridCol w:w="885"/>
        <w:gridCol w:w="897"/>
      </w:tblGrid>
      <w:tr>
        <w:tblPrEx>
          <w:tblCellMar>
            <w:top w:w="15" w:type="dxa"/>
            <w:left w:w="15" w:type="dxa"/>
            <w:bottom w:w="15" w:type="dxa"/>
            <w:right w:w="15" w:type="dxa"/>
          </w:tblCellMar>
        </w:tblPrEx>
        <w:trPr>
          <w:trHeight w:val="364" w:hRule="atLeast"/>
        </w:trPr>
        <w:tc>
          <w:tcPr>
            <w:tcW w:w="56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序号</w:t>
            </w:r>
          </w:p>
        </w:tc>
        <w:tc>
          <w:tcPr>
            <w:tcW w:w="1496"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学校</w:t>
            </w:r>
          </w:p>
        </w:tc>
        <w:tc>
          <w:tcPr>
            <w:tcW w:w="102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201</w:t>
            </w:r>
            <w:r>
              <w:rPr>
                <w:rFonts w:hint="eastAsia" w:ascii="仿宋_GB2312" w:hAnsi="仿宋_GB2312" w:eastAsia="仿宋_GB2312" w:cs="仿宋_GB2312"/>
                <w:color w:val="000000"/>
                <w:kern w:val="0"/>
                <w:sz w:val="24"/>
                <w:lang w:val="en-US" w:eastAsia="zh-CN"/>
              </w:rPr>
              <w:t>9</w:t>
            </w:r>
            <w:r>
              <w:rPr>
                <w:rFonts w:hint="eastAsia" w:ascii="仿宋_GB2312" w:hAnsi="仿宋_GB2312" w:eastAsia="仿宋_GB2312" w:cs="仿宋_GB2312"/>
                <w:color w:val="000000"/>
                <w:kern w:val="0"/>
                <w:sz w:val="24"/>
              </w:rPr>
              <w:t>年招生计划数</w:t>
            </w:r>
          </w:p>
        </w:tc>
        <w:tc>
          <w:tcPr>
            <w:tcW w:w="834"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计划班级数</w:t>
            </w:r>
          </w:p>
        </w:tc>
        <w:tc>
          <w:tcPr>
            <w:tcW w:w="1781" w:type="dxa"/>
            <w:gridSpan w:val="3"/>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一年级</w:t>
            </w:r>
          </w:p>
        </w:tc>
        <w:tc>
          <w:tcPr>
            <w:tcW w:w="1783" w:type="dxa"/>
            <w:gridSpan w:val="2"/>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二年级</w:t>
            </w:r>
          </w:p>
        </w:tc>
        <w:tc>
          <w:tcPr>
            <w:tcW w:w="1779" w:type="dxa"/>
            <w:gridSpan w:val="3"/>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三年级</w:t>
            </w:r>
          </w:p>
        </w:tc>
        <w:tc>
          <w:tcPr>
            <w:tcW w:w="1781" w:type="dxa"/>
            <w:gridSpan w:val="3"/>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四年级</w:t>
            </w:r>
          </w:p>
        </w:tc>
        <w:tc>
          <w:tcPr>
            <w:tcW w:w="1781" w:type="dxa"/>
            <w:gridSpan w:val="3"/>
            <w:tcBorders>
              <w:top w:val="single" w:color="000000" w:sz="4" w:space="0"/>
              <w:left w:val="single" w:color="000000"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五年级</w:t>
            </w:r>
          </w:p>
        </w:tc>
        <w:tc>
          <w:tcPr>
            <w:tcW w:w="1782" w:type="dxa"/>
            <w:gridSpan w:val="2"/>
            <w:tcBorders>
              <w:top w:val="single" w:color="000000" w:sz="4" w:space="0"/>
              <w:left w:val="single" w:color="auto" w:sz="4" w:space="0"/>
              <w:bottom w:val="single" w:color="auto"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六年级</w:t>
            </w:r>
          </w:p>
        </w:tc>
      </w:tr>
      <w:tr>
        <w:tblPrEx>
          <w:tblCellMar>
            <w:top w:w="15" w:type="dxa"/>
            <w:left w:w="15" w:type="dxa"/>
            <w:bottom w:w="15" w:type="dxa"/>
            <w:right w:w="15" w:type="dxa"/>
          </w:tblCellMar>
        </w:tblPrEx>
        <w:trPr>
          <w:trHeight w:val="579" w:hRule="atLeast"/>
        </w:trPr>
        <w:tc>
          <w:tcPr>
            <w:tcW w:w="567"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p>
        </w:tc>
        <w:tc>
          <w:tcPr>
            <w:tcW w:w="1496"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p>
        </w:tc>
        <w:tc>
          <w:tcPr>
            <w:tcW w:w="102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p>
        </w:tc>
        <w:tc>
          <w:tcPr>
            <w:tcW w:w="834"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p>
        </w:tc>
        <w:tc>
          <w:tcPr>
            <w:tcW w:w="890"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学生</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c>
          <w:tcPr>
            <w:tcW w:w="890"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班级</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c>
          <w:tcPr>
            <w:tcW w:w="890" w:type="dxa"/>
            <w:gridSpan w:val="2"/>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学生</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c>
          <w:tcPr>
            <w:tcW w:w="894"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班级</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c>
          <w:tcPr>
            <w:tcW w:w="886"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学生</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c>
          <w:tcPr>
            <w:tcW w:w="890"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班级</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c>
          <w:tcPr>
            <w:tcW w:w="890" w:type="dxa"/>
            <w:gridSpan w:val="2"/>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学生</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c>
          <w:tcPr>
            <w:tcW w:w="890"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班级</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c>
          <w:tcPr>
            <w:tcW w:w="890" w:type="dxa"/>
            <w:gridSpan w:val="2"/>
            <w:tcBorders>
              <w:top w:val="single" w:color="auto" w:sz="4" w:space="0"/>
              <w:left w:val="single" w:color="000000" w:sz="4" w:space="0"/>
              <w:bottom w:val="single" w:color="000000" w:sz="4" w:space="0"/>
              <w:right w:val="single" w:color="auto"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学生</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c>
          <w:tcPr>
            <w:tcW w:w="890" w:type="dxa"/>
            <w:tcBorders>
              <w:top w:val="single" w:color="auto" w:sz="4" w:space="0"/>
              <w:left w:val="single" w:color="auto" w:sz="4" w:space="0"/>
              <w:bottom w:val="single" w:color="000000" w:sz="4" w:space="0"/>
              <w:right w:val="single" w:color="auto"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班级</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c>
          <w:tcPr>
            <w:tcW w:w="890" w:type="dxa"/>
            <w:gridSpan w:val="2"/>
            <w:tcBorders>
              <w:top w:val="single" w:color="auto" w:sz="4" w:space="0"/>
              <w:left w:val="single" w:color="auto" w:sz="4" w:space="0"/>
              <w:bottom w:val="single" w:color="000000" w:sz="4" w:space="0"/>
              <w:right w:val="single" w:color="000000"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学生</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c>
          <w:tcPr>
            <w:tcW w:w="897" w:type="dxa"/>
            <w:tcBorders>
              <w:top w:val="single" w:color="auto" w:sz="4" w:space="0"/>
              <w:left w:val="single" w:color="000000" w:sz="4" w:space="0"/>
              <w:bottom w:val="single" w:color="000000" w:sz="4" w:space="0"/>
              <w:right w:val="single" w:color="000000" w:sz="4" w:space="0"/>
            </w:tcBorders>
            <w:vAlign w:val="center"/>
          </w:tcPr>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班级</w:t>
            </w:r>
          </w:p>
          <w:p>
            <w:pPr>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实数</w:t>
            </w:r>
          </w:p>
        </w:tc>
      </w:tr>
      <w:tr>
        <w:tblPrEx>
          <w:tblCellMar>
            <w:top w:w="15" w:type="dxa"/>
            <w:left w:w="15" w:type="dxa"/>
            <w:bottom w:w="15" w:type="dxa"/>
            <w:right w:w="15" w:type="dxa"/>
          </w:tblCellMar>
        </w:tblPrEx>
        <w:trPr>
          <w:trHeight w:val="547"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1</w:t>
            </w:r>
          </w:p>
        </w:tc>
        <w:tc>
          <w:tcPr>
            <w:tcW w:w="14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汪仁小学</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48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2</w:t>
            </w:r>
          </w:p>
        </w:tc>
        <w:tc>
          <w:tcPr>
            <w:tcW w:w="14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四棵小学</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478"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3</w:t>
            </w:r>
          </w:p>
        </w:tc>
        <w:tc>
          <w:tcPr>
            <w:tcW w:w="14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大路小学</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468"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4</w:t>
            </w:r>
          </w:p>
        </w:tc>
        <w:tc>
          <w:tcPr>
            <w:tcW w:w="14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黄金山一小</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455"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5</w:t>
            </w:r>
          </w:p>
        </w:tc>
        <w:tc>
          <w:tcPr>
            <w:tcW w:w="14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中庄小学</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62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ind w:firstLine="240" w:firstLineChars="100"/>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6</w:t>
            </w:r>
          </w:p>
        </w:tc>
        <w:tc>
          <w:tcPr>
            <w:tcW w:w="14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大王中心</w:t>
            </w:r>
          </w:p>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小学</w:t>
            </w:r>
          </w:p>
        </w:tc>
        <w:tc>
          <w:tcPr>
            <w:tcW w:w="1020"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color w:val="000000"/>
                <w:sz w:val="24"/>
              </w:rPr>
            </w:pPr>
          </w:p>
        </w:tc>
        <w:tc>
          <w:tcPr>
            <w:tcW w:w="8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482"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7</w:t>
            </w:r>
          </w:p>
        </w:tc>
        <w:tc>
          <w:tcPr>
            <w:tcW w:w="14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太子中心</w:t>
            </w:r>
          </w:p>
          <w:p>
            <w:pPr>
              <w:widowControl/>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kern w:val="0"/>
                <w:sz w:val="24"/>
              </w:rPr>
              <w:t>小学</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46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lang w:val="en-US" w:eastAsia="zh-CN"/>
              </w:rPr>
            </w:pPr>
            <w:r>
              <w:rPr>
                <w:rFonts w:hint="eastAsia" w:ascii="仿宋_GB2312" w:hAnsi="仿宋_GB2312" w:eastAsia="仿宋_GB2312" w:cs="仿宋_GB2312"/>
                <w:color w:val="000000"/>
                <w:kern w:val="0"/>
                <w:sz w:val="24"/>
                <w:lang w:val="en-US" w:eastAsia="zh-CN"/>
              </w:rPr>
              <w:t>8</w:t>
            </w:r>
          </w:p>
        </w:tc>
        <w:tc>
          <w:tcPr>
            <w:tcW w:w="14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lang w:eastAsia="zh-CN"/>
              </w:rPr>
            </w:pPr>
            <w:r>
              <w:rPr>
                <w:rFonts w:hint="eastAsia" w:ascii="仿宋_GB2312" w:hAnsi="仿宋_GB2312" w:eastAsia="仿宋_GB2312" w:cs="仿宋_GB2312"/>
                <w:color w:val="000000"/>
                <w:kern w:val="0"/>
                <w:sz w:val="24"/>
                <w:lang w:eastAsia="zh-CN"/>
              </w:rPr>
              <w:t>铁山三小</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r>
        <w:tblPrEx>
          <w:tblCellMar>
            <w:top w:w="15" w:type="dxa"/>
            <w:left w:w="15" w:type="dxa"/>
            <w:bottom w:w="15" w:type="dxa"/>
            <w:right w:w="15" w:type="dxa"/>
          </w:tblCellMar>
        </w:tblPrEx>
        <w:trPr>
          <w:trHeight w:val="62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lang w:val="en-US" w:eastAsia="zh-CN"/>
              </w:rPr>
            </w:pPr>
            <w:r>
              <w:rPr>
                <w:rFonts w:hint="eastAsia" w:ascii="仿宋_GB2312" w:hAnsi="仿宋_GB2312" w:eastAsia="仿宋_GB2312" w:cs="仿宋_GB2312"/>
                <w:color w:val="000000"/>
                <w:kern w:val="0"/>
                <w:sz w:val="24"/>
                <w:lang w:val="en-US" w:eastAsia="zh-CN"/>
              </w:rPr>
              <w:t>9</w:t>
            </w:r>
          </w:p>
        </w:tc>
        <w:tc>
          <w:tcPr>
            <w:tcW w:w="14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仿宋_GB2312" w:eastAsia="仿宋_GB2312" w:cs="仿宋_GB2312"/>
                <w:color w:val="000000"/>
                <w:kern w:val="0"/>
                <w:sz w:val="24"/>
                <w:lang w:eastAsia="zh-CN"/>
              </w:rPr>
            </w:pPr>
            <w:r>
              <w:rPr>
                <w:rFonts w:hint="eastAsia" w:ascii="仿宋_GB2312" w:hAnsi="仿宋_GB2312" w:eastAsia="仿宋_GB2312" w:cs="仿宋_GB2312"/>
                <w:color w:val="000000"/>
                <w:kern w:val="0"/>
                <w:sz w:val="24"/>
                <w:lang w:eastAsia="zh-CN"/>
              </w:rPr>
              <w:t>铁山小学</w:t>
            </w:r>
          </w:p>
        </w:tc>
        <w:tc>
          <w:tcPr>
            <w:tcW w:w="10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3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8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000000"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tcBorders>
              <w:top w:val="single" w:color="000000"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color w:val="000000"/>
                <w:sz w:val="24"/>
              </w:rPr>
            </w:pPr>
          </w:p>
        </w:tc>
        <w:tc>
          <w:tcPr>
            <w:tcW w:w="890" w:type="dxa"/>
            <w:gridSpan w:val="2"/>
            <w:tcBorders>
              <w:top w:val="single" w:color="000000" w:sz="4" w:space="0"/>
              <w:left w:val="single" w:color="auto"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color w:val="000000"/>
                <w:sz w:val="24"/>
              </w:rPr>
            </w:pPr>
          </w:p>
        </w:tc>
      </w:tr>
    </w:tbl>
    <w:p/>
    <w:sectPr>
      <w:pgSz w:w="16838" w:h="11906" w:orient="landscape"/>
      <w:pgMar w:top="1701" w:right="1134" w:bottom="1701" w:left="992"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sz w:val="28"/>
        <w:szCs w:val="28"/>
      </w:rPr>
    </w:pPr>
    <w:r>
      <w:rPr>
        <w:rFonts w:hint="eastAsia"/>
        <w:sz w:val="28"/>
        <w:szCs w:val="28"/>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5</w:t>
    </w:r>
    <w:r>
      <w:rPr>
        <w:rFonts w:hint="eastAsia"/>
        <w:sz w:val="28"/>
        <w:szCs w:val="28"/>
      </w:rPr>
      <w:fldChar w:fldCharType="end"/>
    </w:r>
    <w:r>
      <w:rPr>
        <w:rFonts w:hint="eastAsia"/>
        <w:sz w:val="28"/>
        <w:szCs w:val="28"/>
      </w:rPr>
      <w:t>—</w:t>
    </w:r>
  </w:p>
  <w:p>
    <w:pPr>
      <w:pStyle w:val="2"/>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2A04955"/>
    <w:rsid w:val="00007EF9"/>
    <w:rsid w:val="00013E51"/>
    <w:rsid w:val="0014128D"/>
    <w:rsid w:val="002B583F"/>
    <w:rsid w:val="00343DEA"/>
    <w:rsid w:val="004018C6"/>
    <w:rsid w:val="00494614"/>
    <w:rsid w:val="0063252B"/>
    <w:rsid w:val="006633A8"/>
    <w:rsid w:val="0069030A"/>
    <w:rsid w:val="006B7C9D"/>
    <w:rsid w:val="00843B8D"/>
    <w:rsid w:val="00864C2B"/>
    <w:rsid w:val="00972B27"/>
    <w:rsid w:val="00A70AD8"/>
    <w:rsid w:val="00AB1C24"/>
    <w:rsid w:val="00AE1FCC"/>
    <w:rsid w:val="00B80A66"/>
    <w:rsid w:val="00BE603F"/>
    <w:rsid w:val="00E408D6"/>
    <w:rsid w:val="00E45428"/>
    <w:rsid w:val="00E70A57"/>
    <w:rsid w:val="00E73618"/>
    <w:rsid w:val="01BF3D4D"/>
    <w:rsid w:val="02A04955"/>
    <w:rsid w:val="09C4208F"/>
    <w:rsid w:val="09C7248F"/>
    <w:rsid w:val="0AD95830"/>
    <w:rsid w:val="131B7A05"/>
    <w:rsid w:val="14F86672"/>
    <w:rsid w:val="166D3B63"/>
    <w:rsid w:val="172564CE"/>
    <w:rsid w:val="19C15AF0"/>
    <w:rsid w:val="1CD27587"/>
    <w:rsid w:val="1E4C27DB"/>
    <w:rsid w:val="224B1BA0"/>
    <w:rsid w:val="248E6A19"/>
    <w:rsid w:val="24920929"/>
    <w:rsid w:val="26591E81"/>
    <w:rsid w:val="268B7B8C"/>
    <w:rsid w:val="26B83C01"/>
    <w:rsid w:val="2DE21D89"/>
    <w:rsid w:val="2DED2283"/>
    <w:rsid w:val="309E781B"/>
    <w:rsid w:val="31750FC6"/>
    <w:rsid w:val="322A1F9E"/>
    <w:rsid w:val="33E8675B"/>
    <w:rsid w:val="342F2AF1"/>
    <w:rsid w:val="3BF64348"/>
    <w:rsid w:val="4A4A33C0"/>
    <w:rsid w:val="4AE4122F"/>
    <w:rsid w:val="4B3B1F40"/>
    <w:rsid w:val="4BE75876"/>
    <w:rsid w:val="51D026A9"/>
    <w:rsid w:val="52E7035F"/>
    <w:rsid w:val="54A964AD"/>
    <w:rsid w:val="5AC62AD1"/>
    <w:rsid w:val="5C7B3EF9"/>
    <w:rsid w:val="5F583E7B"/>
    <w:rsid w:val="6B1E5E24"/>
    <w:rsid w:val="6E2F2AB1"/>
    <w:rsid w:val="73CB2326"/>
    <w:rsid w:val="7470737F"/>
    <w:rsid w:val="749E5300"/>
    <w:rsid w:val="75D055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1040</Words>
  <Characters>5933</Characters>
  <Lines>49</Lines>
  <Paragraphs>13</Paragraphs>
  <TotalTime>2</TotalTime>
  <ScaleCrop>false</ScaleCrop>
  <LinksUpToDate>false</LinksUpToDate>
  <CharactersWithSpaces>6960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2017-07-11T03:33:00Z</dcterms:created>
  <dc:creator>Lenovo</dc:creator>
  <cp:lastModifiedBy>清风月下</cp:lastModifiedBy>
  <cp:lastPrinted>2019-06-18T08:41:00Z</cp:lastPrinted>
  <dcterms:modified xsi:type="dcterms:W3CDTF">2020-06-23T09:50:28Z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